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4E5" w:rsidRPr="00200070" w:rsidRDefault="0076494B" w:rsidP="00E43783">
      <w:pPr>
        <w:jc w:val="both"/>
        <w:rPr>
          <w:rFonts w:ascii="Arial" w:hAnsi="Arial" w:cs="Arial"/>
          <w:b/>
        </w:rPr>
      </w:pPr>
      <w:r w:rsidRPr="00E43783">
        <w:rPr>
          <w:rFonts w:ascii="Arial" w:hAnsi="Arial" w:cs="Arial"/>
          <w:b/>
        </w:rPr>
        <w:t>Report to the Cabinet</w:t>
      </w:r>
      <w:r>
        <w:rPr>
          <w:rFonts w:ascii="Arial" w:hAnsi="Arial" w:cs="Arial"/>
          <w:b/>
        </w:rPr>
        <w:t xml:space="preserve">, </w:t>
      </w:r>
      <w:r w:rsidRPr="00E43783">
        <w:rPr>
          <w:rFonts w:ascii="Arial" w:hAnsi="Arial" w:cs="Arial"/>
          <w:b/>
        </w:rPr>
        <w:fldChar w:fldCharType="begin"/>
      </w:r>
      <w:r w:rsidRPr="00E43783">
        <w:rPr>
          <w:rFonts w:ascii="Arial" w:hAnsi="Arial" w:cs="Arial"/>
          <w:b/>
        </w:rPr>
        <w:instrText xml:space="preserve"> DOCPROPERTY  MeetingDate  \* MERGEFORMAT </w:instrText>
      </w:r>
      <w:r w:rsidRPr="00E43783">
        <w:rPr>
          <w:rFonts w:ascii="Arial" w:hAnsi="Arial" w:cs="Arial"/>
          <w:b/>
        </w:rPr>
        <w:fldChar w:fldCharType="separate"/>
      </w:r>
      <w:r w:rsidRPr="00E43783">
        <w:rPr>
          <w:rFonts w:ascii="Arial" w:hAnsi="Arial" w:cs="Arial"/>
          <w:b/>
        </w:rPr>
        <w:t>Thursday, 18 January 2018</w:t>
      </w:r>
      <w:r w:rsidRPr="00E43783">
        <w:rPr>
          <w:rFonts w:ascii="Arial" w:hAnsi="Arial" w:cs="Arial"/>
          <w:b/>
        </w:rPr>
        <w:fldChar w:fldCharType="end"/>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bookmarkStart w:id="0" w:name="_GoBack"/>
      <w:bookmarkEnd w:id="0"/>
      <w:r w:rsidRPr="00200070">
        <w:rPr>
          <w:rFonts w:ascii="Arial" w:hAnsi="Arial" w:cs="Arial"/>
          <w:b/>
        </w:rPr>
        <w:t xml:space="preserve"> </w:t>
      </w:r>
    </w:p>
    <w:p w:rsidR="000024E5" w:rsidRDefault="0076494B" w:rsidP="000024E5">
      <w:pPr>
        <w:pStyle w:val="NoSpacing"/>
        <w:jc w:val="both"/>
        <w:rPr>
          <w:rFonts w:ascii="Arial" w:hAnsi="Arial" w:cs="Arial"/>
          <w:sz w:val="24"/>
          <w:szCs w:val="24"/>
        </w:rPr>
      </w:pPr>
    </w:p>
    <w:p w:rsidR="00E5056E" w:rsidRPr="00E5056E" w:rsidRDefault="0076494B" w:rsidP="000024E5">
      <w:pPr>
        <w:pStyle w:val="NoSpacing"/>
        <w:jc w:val="both"/>
        <w:rPr>
          <w:rFonts w:ascii="Arial" w:hAnsi="Arial" w:cs="Arial"/>
          <w:b/>
          <w:sz w:val="24"/>
          <w:szCs w:val="24"/>
        </w:rPr>
      </w:pPr>
      <w:r w:rsidRPr="00E5056E">
        <w:rPr>
          <w:rFonts w:ascii="Arial" w:hAnsi="Arial" w:cs="Arial"/>
          <w:b/>
          <w:sz w:val="24"/>
          <w:szCs w:val="24"/>
        </w:rPr>
        <w:t>Dedicated Schools Grant (DSG) School and Early Years Consultation responses 2018/19</w:t>
      </w:r>
    </w:p>
    <w:p w:rsidR="000024E5" w:rsidRDefault="0076494B" w:rsidP="000024E5">
      <w:pPr>
        <w:pStyle w:val="NoSpacing"/>
        <w:jc w:val="both"/>
        <w:rPr>
          <w:rFonts w:ascii="Arial" w:hAnsi="Arial" w:cs="Arial"/>
          <w:sz w:val="24"/>
          <w:szCs w:val="24"/>
        </w:rPr>
      </w:pPr>
    </w:p>
    <w:p w:rsidR="000024E5" w:rsidRPr="00E43783" w:rsidRDefault="0076494B" w:rsidP="00E43783">
      <w:pPr>
        <w:pStyle w:val="ListParagraph"/>
        <w:numPr>
          <w:ilvl w:val="0"/>
          <w:numId w:val="1"/>
        </w:numPr>
        <w:jc w:val="both"/>
        <w:rPr>
          <w:rFonts w:ascii="Arial" w:hAnsi="Arial" w:cs="Arial"/>
          <w:b/>
        </w:rPr>
      </w:pPr>
      <w:r w:rsidRPr="00E43783">
        <w:rPr>
          <w:rFonts w:ascii="Arial" w:hAnsi="Arial" w:cs="Arial"/>
          <w:b/>
        </w:rPr>
        <w:t xml:space="preserve">Schools Block Budget 2018/19: Phase 2 Consultation Responses </w:t>
      </w:r>
    </w:p>
    <w:p w:rsidR="000024E5" w:rsidRDefault="0076494B" w:rsidP="000024E5">
      <w:pPr>
        <w:jc w:val="both"/>
        <w:rPr>
          <w:rFonts w:ascii="Arial" w:hAnsi="Arial" w:cs="Arial"/>
          <w:b/>
        </w:rPr>
      </w:pPr>
    </w:p>
    <w:p w:rsidR="000024E5" w:rsidRDefault="0076494B" w:rsidP="000024E5">
      <w:pPr>
        <w:jc w:val="both"/>
        <w:rPr>
          <w:rFonts w:ascii="Arial" w:hAnsi="Arial" w:cs="Arial"/>
          <w:b/>
        </w:rPr>
      </w:pPr>
    </w:p>
    <w:tbl>
      <w:tblPr>
        <w:tblW w:w="9860" w:type="dxa"/>
        <w:tblLook w:val="04A0" w:firstRow="1" w:lastRow="0" w:firstColumn="1" w:lastColumn="0" w:noHBand="0" w:noVBand="1"/>
      </w:tblPr>
      <w:tblGrid>
        <w:gridCol w:w="3703"/>
        <w:gridCol w:w="1497"/>
        <w:gridCol w:w="1580"/>
        <w:gridCol w:w="1580"/>
        <w:gridCol w:w="1500"/>
      </w:tblGrid>
      <w:tr w:rsidR="00FF1399" w:rsidTr="00A92922">
        <w:trPr>
          <w:trHeight w:val="1275"/>
        </w:trPr>
        <w:tc>
          <w:tcPr>
            <w:tcW w:w="9860" w:type="dxa"/>
            <w:gridSpan w:val="5"/>
            <w:tcBorders>
              <w:top w:val="single" w:sz="8" w:space="0" w:color="auto"/>
              <w:left w:val="single" w:sz="8" w:space="0" w:color="auto"/>
              <w:bottom w:val="single" w:sz="4" w:space="0" w:color="auto"/>
              <w:right w:val="single" w:sz="8" w:space="0" w:color="000000"/>
            </w:tcBorders>
            <w:shd w:val="clear" w:color="000000" w:fill="D9D9D9"/>
            <w:vAlign w:val="bottom"/>
            <w:hideMark/>
          </w:tcPr>
          <w:p w:rsidR="000024E5" w:rsidRPr="00200070" w:rsidRDefault="0076494B" w:rsidP="00A92922">
            <w:pPr>
              <w:rPr>
                <w:rFonts w:ascii="Arial" w:hAnsi="Arial" w:cs="Arial"/>
                <w:b/>
                <w:bCs/>
                <w:color w:val="000000"/>
              </w:rPr>
            </w:pPr>
            <w:r w:rsidRPr="00200070">
              <w:rPr>
                <w:rFonts w:ascii="Arial" w:hAnsi="Arial" w:cs="Arial"/>
                <w:b/>
                <w:bCs/>
                <w:color w:val="000000"/>
              </w:rPr>
              <w:t xml:space="preserve">Question 1: As there is no longer a Looked After Children (LAC) allocation in Lancashire's Dedicated Schools Grant (DSG) from April 2018  (as funding has been transferred to the pupil premium </w:t>
            </w:r>
            <w:r w:rsidRPr="00200070">
              <w:rPr>
                <w:rFonts w:ascii="Arial" w:hAnsi="Arial" w:cs="Arial"/>
                <w:b/>
                <w:bCs/>
                <w:color w:val="000000"/>
              </w:rPr>
              <w:t>plus) it is proposed to omit the local LAC factor from all 2018/19 funding options. Do you agree?</w:t>
            </w:r>
          </w:p>
        </w:tc>
      </w:tr>
      <w:tr w:rsidR="00FF1399" w:rsidTr="00A92922">
        <w:trPr>
          <w:trHeight w:val="765"/>
        </w:trPr>
        <w:tc>
          <w:tcPr>
            <w:tcW w:w="3703" w:type="dxa"/>
            <w:tcBorders>
              <w:top w:val="nil"/>
              <w:left w:val="single" w:sz="8" w:space="0" w:color="auto"/>
              <w:bottom w:val="nil"/>
              <w:right w:val="nil"/>
            </w:tcBorders>
            <w:shd w:val="clear" w:color="auto" w:fill="auto"/>
            <w:vAlign w:val="center"/>
            <w:hideMark/>
          </w:tcPr>
          <w:p w:rsidR="000024E5" w:rsidRPr="00200070" w:rsidRDefault="0076494B" w:rsidP="00A92922">
            <w:pPr>
              <w:jc w:val="center"/>
              <w:rPr>
                <w:rFonts w:ascii="Arial" w:hAnsi="Arial" w:cs="Arial"/>
                <w:b/>
                <w:bCs/>
                <w:color w:val="000000"/>
              </w:rPr>
            </w:pPr>
            <w:r w:rsidRPr="00200070">
              <w:rPr>
                <w:rFonts w:ascii="Arial" w:hAnsi="Arial" w:cs="Arial"/>
                <w:b/>
                <w:bCs/>
                <w:color w:val="000000"/>
              </w:rPr>
              <w:t> </w:t>
            </w:r>
          </w:p>
        </w:tc>
        <w:tc>
          <w:tcPr>
            <w:tcW w:w="1497" w:type="dxa"/>
            <w:tcBorders>
              <w:top w:val="nil"/>
              <w:left w:val="single" w:sz="4" w:space="0" w:color="auto"/>
              <w:bottom w:val="single" w:sz="4" w:space="0" w:color="auto"/>
              <w:right w:val="single" w:sz="4" w:space="0" w:color="auto"/>
            </w:tcBorders>
            <w:shd w:val="clear" w:color="auto" w:fill="auto"/>
            <w:vAlign w:val="center"/>
            <w:hideMark/>
          </w:tcPr>
          <w:p w:rsidR="000024E5" w:rsidRPr="00200070" w:rsidRDefault="0076494B" w:rsidP="00A92922">
            <w:pPr>
              <w:jc w:val="center"/>
              <w:rPr>
                <w:rFonts w:ascii="Arial" w:hAnsi="Arial" w:cs="Arial"/>
                <w:b/>
                <w:bCs/>
                <w:color w:val="000000"/>
              </w:rPr>
            </w:pPr>
            <w:r w:rsidRPr="00200070">
              <w:rPr>
                <w:rFonts w:ascii="Arial" w:hAnsi="Arial" w:cs="Arial"/>
                <w:b/>
                <w:bCs/>
                <w:color w:val="000000"/>
              </w:rPr>
              <w:t>Total Responses</w:t>
            </w:r>
          </w:p>
        </w:tc>
        <w:tc>
          <w:tcPr>
            <w:tcW w:w="1580" w:type="dxa"/>
            <w:tcBorders>
              <w:top w:val="nil"/>
              <w:left w:val="nil"/>
              <w:bottom w:val="single" w:sz="4" w:space="0" w:color="auto"/>
              <w:right w:val="single" w:sz="4" w:space="0" w:color="auto"/>
            </w:tcBorders>
            <w:shd w:val="clear" w:color="auto" w:fill="auto"/>
            <w:noWrap/>
            <w:vAlign w:val="center"/>
            <w:hideMark/>
          </w:tcPr>
          <w:p w:rsidR="000024E5" w:rsidRPr="00200070" w:rsidRDefault="0076494B" w:rsidP="00A92922">
            <w:pPr>
              <w:jc w:val="center"/>
              <w:rPr>
                <w:rFonts w:ascii="Arial" w:hAnsi="Arial" w:cs="Arial"/>
                <w:b/>
                <w:bCs/>
                <w:color w:val="000000"/>
              </w:rPr>
            </w:pPr>
            <w:r w:rsidRPr="00200070">
              <w:rPr>
                <w:rFonts w:ascii="Arial" w:hAnsi="Arial" w:cs="Arial"/>
                <w:b/>
                <w:bCs/>
                <w:color w:val="000000"/>
              </w:rPr>
              <w:t>Yes</w:t>
            </w:r>
          </w:p>
        </w:tc>
        <w:tc>
          <w:tcPr>
            <w:tcW w:w="1580" w:type="dxa"/>
            <w:tcBorders>
              <w:top w:val="nil"/>
              <w:left w:val="nil"/>
              <w:bottom w:val="single" w:sz="4" w:space="0" w:color="auto"/>
              <w:right w:val="single" w:sz="4" w:space="0" w:color="auto"/>
            </w:tcBorders>
            <w:shd w:val="clear" w:color="auto" w:fill="auto"/>
            <w:noWrap/>
            <w:vAlign w:val="center"/>
            <w:hideMark/>
          </w:tcPr>
          <w:p w:rsidR="000024E5" w:rsidRPr="00200070" w:rsidRDefault="0076494B" w:rsidP="00A92922">
            <w:pPr>
              <w:jc w:val="center"/>
              <w:rPr>
                <w:rFonts w:ascii="Arial" w:hAnsi="Arial" w:cs="Arial"/>
                <w:b/>
                <w:bCs/>
                <w:color w:val="000000"/>
              </w:rPr>
            </w:pPr>
            <w:r w:rsidRPr="00200070">
              <w:rPr>
                <w:rFonts w:ascii="Arial" w:hAnsi="Arial" w:cs="Arial"/>
                <w:b/>
                <w:bCs/>
                <w:color w:val="000000"/>
              </w:rPr>
              <w:t xml:space="preserve">No </w:t>
            </w:r>
          </w:p>
        </w:tc>
        <w:tc>
          <w:tcPr>
            <w:tcW w:w="1500" w:type="dxa"/>
            <w:tcBorders>
              <w:top w:val="nil"/>
              <w:left w:val="nil"/>
              <w:bottom w:val="single" w:sz="4" w:space="0" w:color="auto"/>
              <w:right w:val="single" w:sz="8" w:space="0" w:color="auto"/>
            </w:tcBorders>
            <w:shd w:val="clear" w:color="auto" w:fill="auto"/>
            <w:noWrap/>
            <w:vAlign w:val="center"/>
            <w:hideMark/>
          </w:tcPr>
          <w:p w:rsidR="000024E5" w:rsidRPr="00200070" w:rsidRDefault="0076494B" w:rsidP="00A92922">
            <w:pPr>
              <w:jc w:val="center"/>
              <w:rPr>
                <w:rFonts w:ascii="Arial" w:hAnsi="Arial" w:cs="Arial"/>
                <w:b/>
                <w:bCs/>
                <w:color w:val="000000"/>
              </w:rPr>
            </w:pPr>
            <w:r w:rsidRPr="00200070">
              <w:rPr>
                <w:rFonts w:ascii="Arial" w:hAnsi="Arial" w:cs="Arial"/>
                <w:b/>
                <w:bCs/>
                <w:color w:val="000000"/>
              </w:rPr>
              <w:t>Not sure</w:t>
            </w:r>
          </w:p>
        </w:tc>
      </w:tr>
      <w:tr w:rsidR="00FF1399" w:rsidTr="00A92922">
        <w:trPr>
          <w:trHeight w:val="315"/>
        </w:trPr>
        <w:tc>
          <w:tcPr>
            <w:tcW w:w="3703" w:type="dxa"/>
            <w:tcBorders>
              <w:top w:val="nil"/>
              <w:left w:val="single" w:sz="8" w:space="0" w:color="auto"/>
              <w:bottom w:val="nil"/>
              <w:right w:val="nil"/>
            </w:tcBorders>
            <w:shd w:val="clear" w:color="000000" w:fill="FF0000"/>
            <w:vAlign w:val="center"/>
            <w:hideMark/>
          </w:tcPr>
          <w:p w:rsidR="000024E5" w:rsidRPr="00200070" w:rsidRDefault="0076494B" w:rsidP="00A92922">
            <w:pPr>
              <w:jc w:val="center"/>
              <w:rPr>
                <w:rFonts w:ascii="Arial" w:hAnsi="Arial" w:cs="Arial"/>
                <w:b/>
                <w:bCs/>
                <w:color w:val="000000"/>
              </w:rPr>
            </w:pPr>
            <w:r w:rsidRPr="00200070">
              <w:rPr>
                <w:rFonts w:ascii="Arial" w:hAnsi="Arial" w:cs="Arial"/>
                <w:b/>
                <w:bCs/>
                <w:color w:val="000000"/>
              </w:rPr>
              <w:t>Primary School / Academy</w:t>
            </w:r>
          </w:p>
        </w:tc>
        <w:tc>
          <w:tcPr>
            <w:tcW w:w="1497" w:type="dxa"/>
            <w:tcBorders>
              <w:top w:val="nil"/>
              <w:left w:val="single" w:sz="4" w:space="0" w:color="auto"/>
              <w:bottom w:val="single" w:sz="4" w:space="0" w:color="auto"/>
              <w:right w:val="single" w:sz="4" w:space="0" w:color="auto"/>
            </w:tcBorders>
            <w:shd w:val="clear" w:color="auto" w:fill="auto"/>
            <w:noWrap/>
            <w:vAlign w:val="center"/>
            <w:hideMark/>
          </w:tcPr>
          <w:p w:rsidR="000024E5" w:rsidRPr="00200070" w:rsidRDefault="0076494B" w:rsidP="00A92922">
            <w:pPr>
              <w:jc w:val="center"/>
              <w:rPr>
                <w:rFonts w:ascii="Arial" w:hAnsi="Arial" w:cs="Arial"/>
                <w:color w:val="000000"/>
              </w:rPr>
            </w:pPr>
            <w:r w:rsidRPr="00200070">
              <w:rPr>
                <w:rFonts w:ascii="Arial" w:hAnsi="Arial" w:cs="Arial"/>
                <w:color w:val="000000"/>
              </w:rPr>
              <w:t>115</w:t>
            </w:r>
          </w:p>
        </w:tc>
        <w:tc>
          <w:tcPr>
            <w:tcW w:w="1580" w:type="dxa"/>
            <w:tcBorders>
              <w:top w:val="nil"/>
              <w:left w:val="nil"/>
              <w:bottom w:val="single" w:sz="4" w:space="0" w:color="auto"/>
              <w:right w:val="single" w:sz="4" w:space="0" w:color="auto"/>
            </w:tcBorders>
            <w:shd w:val="clear" w:color="auto" w:fill="auto"/>
            <w:noWrap/>
            <w:vAlign w:val="center"/>
            <w:hideMark/>
          </w:tcPr>
          <w:p w:rsidR="000024E5" w:rsidRPr="00200070" w:rsidRDefault="0076494B" w:rsidP="00A92922">
            <w:pPr>
              <w:jc w:val="center"/>
              <w:rPr>
                <w:rFonts w:ascii="Arial" w:hAnsi="Arial" w:cs="Arial"/>
                <w:color w:val="000000"/>
              </w:rPr>
            </w:pPr>
            <w:r w:rsidRPr="00200070">
              <w:rPr>
                <w:rFonts w:ascii="Arial" w:hAnsi="Arial" w:cs="Arial"/>
                <w:color w:val="000000"/>
              </w:rPr>
              <w:t>82</w:t>
            </w:r>
          </w:p>
        </w:tc>
        <w:tc>
          <w:tcPr>
            <w:tcW w:w="1580" w:type="dxa"/>
            <w:tcBorders>
              <w:top w:val="nil"/>
              <w:left w:val="nil"/>
              <w:bottom w:val="single" w:sz="4" w:space="0" w:color="auto"/>
              <w:right w:val="single" w:sz="4" w:space="0" w:color="auto"/>
            </w:tcBorders>
            <w:shd w:val="clear" w:color="auto" w:fill="auto"/>
            <w:noWrap/>
            <w:vAlign w:val="center"/>
            <w:hideMark/>
          </w:tcPr>
          <w:p w:rsidR="000024E5" w:rsidRPr="00200070" w:rsidRDefault="0076494B" w:rsidP="00A92922">
            <w:pPr>
              <w:jc w:val="center"/>
              <w:rPr>
                <w:rFonts w:ascii="Arial" w:hAnsi="Arial" w:cs="Arial"/>
                <w:color w:val="000000"/>
              </w:rPr>
            </w:pPr>
            <w:r w:rsidRPr="00200070">
              <w:rPr>
                <w:rFonts w:ascii="Arial" w:hAnsi="Arial" w:cs="Arial"/>
                <w:color w:val="000000"/>
              </w:rPr>
              <w:t>10</w:t>
            </w:r>
          </w:p>
        </w:tc>
        <w:tc>
          <w:tcPr>
            <w:tcW w:w="1500" w:type="dxa"/>
            <w:tcBorders>
              <w:top w:val="nil"/>
              <w:left w:val="nil"/>
              <w:bottom w:val="single" w:sz="4" w:space="0" w:color="auto"/>
              <w:right w:val="single" w:sz="8" w:space="0" w:color="auto"/>
            </w:tcBorders>
            <w:shd w:val="clear" w:color="auto" w:fill="auto"/>
            <w:noWrap/>
            <w:vAlign w:val="center"/>
            <w:hideMark/>
          </w:tcPr>
          <w:p w:rsidR="000024E5" w:rsidRPr="00200070" w:rsidRDefault="0076494B" w:rsidP="00A92922">
            <w:pPr>
              <w:jc w:val="center"/>
              <w:rPr>
                <w:rFonts w:ascii="Arial" w:hAnsi="Arial" w:cs="Arial"/>
                <w:color w:val="000000"/>
              </w:rPr>
            </w:pPr>
            <w:r w:rsidRPr="00200070">
              <w:rPr>
                <w:rFonts w:ascii="Arial" w:hAnsi="Arial" w:cs="Arial"/>
                <w:color w:val="000000"/>
              </w:rPr>
              <w:t>23</w:t>
            </w:r>
          </w:p>
        </w:tc>
      </w:tr>
      <w:tr w:rsidR="00FF1399" w:rsidTr="00A92922">
        <w:trPr>
          <w:trHeight w:val="315"/>
        </w:trPr>
        <w:tc>
          <w:tcPr>
            <w:tcW w:w="3703" w:type="dxa"/>
            <w:tcBorders>
              <w:top w:val="nil"/>
              <w:left w:val="single" w:sz="8" w:space="0" w:color="auto"/>
              <w:bottom w:val="nil"/>
              <w:right w:val="nil"/>
            </w:tcBorders>
            <w:shd w:val="clear" w:color="auto" w:fill="auto"/>
            <w:vAlign w:val="center"/>
            <w:hideMark/>
          </w:tcPr>
          <w:p w:rsidR="000024E5" w:rsidRPr="00200070" w:rsidRDefault="0076494B" w:rsidP="00A92922">
            <w:pPr>
              <w:jc w:val="center"/>
              <w:rPr>
                <w:rFonts w:ascii="Arial" w:hAnsi="Arial" w:cs="Arial"/>
                <w:b/>
                <w:bCs/>
                <w:color w:val="000000"/>
              </w:rPr>
            </w:pPr>
            <w:r w:rsidRPr="00200070">
              <w:rPr>
                <w:rFonts w:ascii="Arial" w:hAnsi="Arial" w:cs="Arial"/>
                <w:b/>
                <w:bCs/>
                <w:color w:val="000000"/>
              </w:rPr>
              <w:t> </w:t>
            </w:r>
          </w:p>
        </w:tc>
        <w:tc>
          <w:tcPr>
            <w:tcW w:w="1497" w:type="dxa"/>
            <w:tcBorders>
              <w:top w:val="nil"/>
              <w:left w:val="nil"/>
              <w:bottom w:val="nil"/>
              <w:right w:val="nil"/>
            </w:tcBorders>
            <w:shd w:val="clear" w:color="auto" w:fill="auto"/>
            <w:vAlign w:val="center"/>
            <w:hideMark/>
          </w:tcPr>
          <w:p w:rsidR="000024E5" w:rsidRPr="00200070" w:rsidRDefault="0076494B" w:rsidP="00A92922">
            <w:pPr>
              <w:jc w:val="center"/>
              <w:rPr>
                <w:rFonts w:ascii="Arial" w:hAnsi="Arial" w:cs="Arial"/>
                <w:b/>
                <w:bCs/>
                <w:color w:val="000000"/>
              </w:rPr>
            </w:pP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0024E5" w:rsidRPr="00200070" w:rsidRDefault="0076494B" w:rsidP="00A92922">
            <w:pPr>
              <w:jc w:val="center"/>
              <w:rPr>
                <w:rFonts w:ascii="Arial" w:hAnsi="Arial" w:cs="Arial"/>
                <w:b/>
                <w:bCs/>
                <w:color w:val="000000"/>
              </w:rPr>
            </w:pPr>
            <w:r w:rsidRPr="00200070">
              <w:rPr>
                <w:rFonts w:ascii="Arial" w:hAnsi="Arial" w:cs="Arial"/>
                <w:b/>
                <w:bCs/>
                <w:color w:val="000000"/>
              </w:rPr>
              <w:t>71%</w:t>
            </w:r>
          </w:p>
        </w:tc>
        <w:tc>
          <w:tcPr>
            <w:tcW w:w="1580" w:type="dxa"/>
            <w:tcBorders>
              <w:top w:val="nil"/>
              <w:left w:val="nil"/>
              <w:bottom w:val="single" w:sz="4" w:space="0" w:color="auto"/>
              <w:right w:val="single" w:sz="4" w:space="0" w:color="auto"/>
            </w:tcBorders>
            <w:shd w:val="clear" w:color="auto" w:fill="auto"/>
            <w:noWrap/>
            <w:vAlign w:val="center"/>
            <w:hideMark/>
          </w:tcPr>
          <w:p w:rsidR="000024E5" w:rsidRPr="00200070" w:rsidRDefault="0076494B" w:rsidP="00A92922">
            <w:pPr>
              <w:jc w:val="center"/>
              <w:rPr>
                <w:rFonts w:ascii="Arial" w:hAnsi="Arial" w:cs="Arial"/>
                <w:b/>
                <w:bCs/>
                <w:color w:val="000000"/>
              </w:rPr>
            </w:pPr>
            <w:r w:rsidRPr="00200070">
              <w:rPr>
                <w:rFonts w:ascii="Arial" w:hAnsi="Arial" w:cs="Arial"/>
                <w:b/>
                <w:bCs/>
                <w:color w:val="000000"/>
              </w:rPr>
              <w:t>9%</w:t>
            </w:r>
          </w:p>
        </w:tc>
        <w:tc>
          <w:tcPr>
            <w:tcW w:w="1500" w:type="dxa"/>
            <w:tcBorders>
              <w:top w:val="nil"/>
              <w:left w:val="nil"/>
              <w:bottom w:val="single" w:sz="4" w:space="0" w:color="auto"/>
              <w:right w:val="single" w:sz="8" w:space="0" w:color="auto"/>
            </w:tcBorders>
            <w:shd w:val="clear" w:color="auto" w:fill="auto"/>
            <w:noWrap/>
            <w:vAlign w:val="center"/>
            <w:hideMark/>
          </w:tcPr>
          <w:p w:rsidR="000024E5" w:rsidRPr="00200070" w:rsidRDefault="0076494B" w:rsidP="00A92922">
            <w:pPr>
              <w:jc w:val="center"/>
              <w:rPr>
                <w:rFonts w:ascii="Arial" w:hAnsi="Arial" w:cs="Arial"/>
                <w:b/>
                <w:bCs/>
                <w:color w:val="000000"/>
              </w:rPr>
            </w:pPr>
            <w:r w:rsidRPr="00200070">
              <w:rPr>
                <w:rFonts w:ascii="Arial" w:hAnsi="Arial" w:cs="Arial"/>
                <w:b/>
                <w:bCs/>
                <w:color w:val="000000"/>
              </w:rPr>
              <w:t>20%</w:t>
            </w:r>
          </w:p>
        </w:tc>
      </w:tr>
      <w:tr w:rsidR="00FF1399" w:rsidTr="00A92922">
        <w:trPr>
          <w:trHeight w:val="315"/>
        </w:trPr>
        <w:tc>
          <w:tcPr>
            <w:tcW w:w="3703" w:type="dxa"/>
            <w:tcBorders>
              <w:top w:val="nil"/>
              <w:left w:val="single" w:sz="8" w:space="0" w:color="auto"/>
              <w:bottom w:val="nil"/>
              <w:right w:val="nil"/>
            </w:tcBorders>
            <w:shd w:val="clear" w:color="000000" w:fill="95B3D7"/>
            <w:vAlign w:val="center"/>
            <w:hideMark/>
          </w:tcPr>
          <w:p w:rsidR="000024E5" w:rsidRPr="00200070" w:rsidRDefault="0076494B" w:rsidP="00A92922">
            <w:pPr>
              <w:jc w:val="center"/>
              <w:rPr>
                <w:rFonts w:ascii="Arial" w:hAnsi="Arial" w:cs="Arial"/>
                <w:b/>
                <w:bCs/>
                <w:color w:val="000000"/>
              </w:rPr>
            </w:pPr>
            <w:r w:rsidRPr="00200070">
              <w:rPr>
                <w:rFonts w:ascii="Arial" w:hAnsi="Arial" w:cs="Arial"/>
                <w:b/>
                <w:bCs/>
                <w:color w:val="000000"/>
              </w:rPr>
              <w:t>Secondary School / Academy</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4E5" w:rsidRPr="00200070" w:rsidRDefault="0076494B" w:rsidP="00A92922">
            <w:pPr>
              <w:jc w:val="center"/>
              <w:rPr>
                <w:rFonts w:ascii="Arial" w:hAnsi="Arial" w:cs="Arial"/>
                <w:color w:val="000000"/>
              </w:rPr>
            </w:pPr>
            <w:r w:rsidRPr="00200070">
              <w:rPr>
                <w:rFonts w:ascii="Arial" w:hAnsi="Arial" w:cs="Arial"/>
                <w:color w:val="000000"/>
              </w:rPr>
              <w:t>31</w:t>
            </w:r>
          </w:p>
        </w:tc>
        <w:tc>
          <w:tcPr>
            <w:tcW w:w="1580" w:type="dxa"/>
            <w:tcBorders>
              <w:top w:val="nil"/>
              <w:left w:val="nil"/>
              <w:bottom w:val="single" w:sz="4" w:space="0" w:color="auto"/>
              <w:right w:val="single" w:sz="4" w:space="0" w:color="auto"/>
            </w:tcBorders>
            <w:shd w:val="clear" w:color="auto" w:fill="auto"/>
            <w:noWrap/>
            <w:vAlign w:val="center"/>
            <w:hideMark/>
          </w:tcPr>
          <w:p w:rsidR="000024E5" w:rsidRPr="00200070" w:rsidRDefault="0076494B" w:rsidP="00A92922">
            <w:pPr>
              <w:jc w:val="center"/>
              <w:rPr>
                <w:rFonts w:ascii="Arial" w:hAnsi="Arial" w:cs="Arial"/>
                <w:color w:val="000000"/>
              </w:rPr>
            </w:pPr>
            <w:r w:rsidRPr="00200070">
              <w:rPr>
                <w:rFonts w:ascii="Arial" w:hAnsi="Arial" w:cs="Arial"/>
                <w:color w:val="000000"/>
              </w:rPr>
              <w:t>26</w:t>
            </w:r>
          </w:p>
        </w:tc>
        <w:tc>
          <w:tcPr>
            <w:tcW w:w="1580" w:type="dxa"/>
            <w:tcBorders>
              <w:top w:val="nil"/>
              <w:left w:val="nil"/>
              <w:bottom w:val="single" w:sz="4" w:space="0" w:color="auto"/>
              <w:right w:val="single" w:sz="4" w:space="0" w:color="auto"/>
            </w:tcBorders>
            <w:shd w:val="clear" w:color="auto" w:fill="auto"/>
            <w:noWrap/>
            <w:vAlign w:val="center"/>
            <w:hideMark/>
          </w:tcPr>
          <w:p w:rsidR="000024E5" w:rsidRPr="00200070" w:rsidRDefault="0076494B" w:rsidP="00A92922">
            <w:pPr>
              <w:jc w:val="center"/>
              <w:rPr>
                <w:rFonts w:ascii="Arial" w:hAnsi="Arial" w:cs="Arial"/>
                <w:color w:val="000000"/>
              </w:rPr>
            </w:pPr>
            <w:r w:rsidRPr="00200070">
              <w:rPr>
                <w:rFonts w:ascii="Arial" w:hAnsi="Arial" w:cs="Arial"/>
                <w:color w:val="000000"/>
              </w:rPr>
              <w:t>2</w:t>
            </w:r>
          </w:p>
        </w:tc>
        <w:tc>
          <w:tcPr>
            <w:tcW w:w="1500" w:type="dxa"/>
            <w:tcBorders>
              <w:top w:val="nil"/>
              <w:left w:val="nil"/>
              <w:bottom w:val="single" w:sz="4" w:space="0" w:color="auto"/>
              <w:right w:val="single" w:sz="8" w:space="0" w:color="auto"/>
            </w:tcBorders>
            <w:shd w:val="clear" w:color="auto" w:fill="auto"/>
            <w:noWrap/>
            <w:vAlign w:val="center"/>
            <w:hideMark/>
          </w:tcPr>
          <w:p w:rsidR="000024E5" w:rsidRPr="00200070" w:rsidRDefault="0076494B" w:rsidP="00A92922">
            <w:pPr>
              <w:jc w:val="center"/>
              <w:rPr>
                <w:rFonts w:ascii="Arial" w:hAnsi="Arial" w:cs="Arial"/>
                <w:color w:val="000000"/>
              </w:rPr>
            </w:pPr>
            <w:r w:rsidRPr="00200070">
              <w:rPr>
                <w:rFonts w:ascii="Arial" w:hAnsi="Arial" w:cs="Arial"/>
                <w:color w:val="000000"/>
              </w:rPr>
              <w:t>3</w:t>
            </w:r>
          </w:p>
        </w:tc>
      </w:tr>
      <w:tr w:rsidR="00FF1399" w:rsidTr="00A92922">
        <w:trPr>
          <w:trHeight w:val="330"/>
        </w:trPr>
        <w:tc>
          <w:tcPr>
            <w:tcW w:w="3703" w:type="dxa"/>
            <w:tcBorders>
              <w:top w:val="nil"/>
              <w:left w:val="single" w:sz="8" w:space="0" w:color="auto"/>
              <w:bottom w:val="nil"/>
              <w:right w:val="nil"/>
            </w:tcBorders>
            <w:shd w:val="clear" w:color="auto" w:fill="auto"/>
            <w:vAlign w:val="center"/>
            <w:hideMark/>
          </w:tcPr>
          <w:p w:rsidR="000024E5" w:rsidRPr="00200070" w:rsidRDefault="0076494B" w:rsidP="00A92922">
            <w:pPr>
              <w:jc w:val="center"/>
              <w:rPr>
                <w:rFonts w:ascii="Arial" w:hAnsi="Arial" w:cs="Arial"/>
                <w:b/>
                <w:bCs/>
                <w:color w:val="000000"/>
              </w:rPr>
            </w:pPr>
            <w:r w:rsidRPr="00200070">
              <w:rPr>
                <w:rFonts w:ascii="Arial" w:hAnsi="Arial" w:cs="Arial"/>
                <w:b/>
                <w:bCs/>
                <w:color w:val="000000"/>
              </w:rPr>
              <w:t> </w:t>
            </w:r>
          </w:p>
        </w:tc>
        <w:tc>
          <w:tcPr>
            <w:tcW w:w="1497" w:type="dxa"/>
            <w:tcBorders>
              <w:top w:val="nil"/>
              <w:left w:val="nil"/>
              <w:bottom w:val="nil"/>
              <w:right w:val="nil"/>
            </w:tcBorders>
            <w:shd w:val="clear" w:color="auto" w:fill="auto"/>
            <w:vAlign w:val="center"/>
            <w:hideMark/>
          </w:tcPr>
          <w:p w:rsidR="000024E5" w:rsidRPr="00200070" w:rsidRDefault="0076494B" w:rsidP="00A92922">
            <w:pPr>
              <w:jc w:val="center"/>
              <w:rPr>
                <w:rFonts w:ascii="Arial" w:hAnsi="Arial" w:cs="Arial"/>
                <w:b/>
                <w:bCs/>
                <w:color w:val="000000"/>
              </w:rPr>
            </w:pP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0024E5" w:rsidRPr="00200070" w:rsidRDefault="0076494B" w:rsidP="00A92922">
            <w:pPr>
              <w:jc w:val="center"/>
              <w:rPr>
                <w:rFonts w:ascii="Arial" w:hAnsi="Arial" w:cs="Arial"/>
                <w:b/>
                <w:bCs/>
                <w:color w:val="000000"/>
              </w:rPr>
            </w:pPr>
            <w:r w:rsidRPr="00200070">
              <w:rPr>
                <w:rFonts w:ascii="Arial" w:hAnsi="Arial" w:cs="Arial"/>
                <w:b/>
                <w:bCs/>
                <w:color w:val="000000"/>
              </w:rPr>
              <w:t>84%</w:t>
            </w:r>
          </w:p>
        </w:tc>
        <w:tc>
          <w:tcPr>
            <w:tcW w:w="1580" w:type="dxa"/>
            <w:tcBorders>
              <w:top w:val="nil"/>
              <w:left w:val="nil"/>
              <w:bottom w:val="single" w:sz="4" w:space="0" w:color="auto"/>
              <w:right w:val="single" w:sz="4" w:space="0" w:color="auto"/>
            </w:tcBorders>
            <w:shd w:val="clear" w:color="auto" w:fill="auto"/>
            <w:noWrap/>
            <w:vAlign w:val="center"/>
            <w:hideMark/>
          </w:tcPr>
          <w:p w:rsidR="000024E5" w:rsidRPr="00200070" w:rsidRDefault="0076494B" w:rsidP="00A92922">
            <w:pPr>
              <w:jc w:val="center"/>
              <w:rPr>
                <w:rFonts w:ascii="Arial" w:hAnsi="Arial" w:cs="Arial"/>
                <w:b/>
                <w:bCs/>
                <w:color w:val="000000"/>
              </w:rPr>
            </w:pPr>
            <w:r w:rsidRPr="00200070">
              <w:rPr>
                <w:rFonts w:ascii="Arial" w:hAnsi="Arial" w:cs="Arial"/>
                <w:b/>
                <w:bCs/>
                <w:color w:val="000000"/>
              </w:rPr>
              <w:t>6%</w:t>
            </w:r>
          </w:p>
        </w:tc>
        <w:tc>
          <w:tcPr>
            <w:tcW w:w="1500" w:type="dxa"/>
            <w:tcBorders>
              <w:top w:val="nil"/>
              <w:left w:val="nil"/>
              <w:bottom w:val="single" w:sz="4" w:space="0" w:color="auto"/>
              <w:right w:val="single" w:sz="8" w:space="0" w:color="auto"/>
            </w:tcBorders>
            <w:shd w:val="clear" w:color="auto" w:fill="auto"/>
            <w:noWrap/>
            <w:vAlign w:val="center"/>
            <w:hideMark/>
          </w:tcPr>
          <w:p w:rsidR="000024E5" w:rsidRPr="00200070" w:rsidRDefault="0076494B" w:rsidP="00A92922">
            <w:pPr>
              <w:jc w:val="center"/>
              <w:rPr>
                <w:rFonts w:ascii="Arial" w:hAnsi="Arial" w:cs="Arial"/>
                <w:b/>
                <w:bCs/>
                <w:color w:val="000000"/>
              </w:rPr>
            </w:pPr>
            <w:r w:rsidRPr="00200070">
              <w:rPr>
                <w:rFonts w:ascii="Arial" w:hAnsi="Arial" w:cs="Arial"/>
                <w:b/>
                <w:bCs/>
                <w:color w:val="000000"/>
              </w:rPr>
              <w:t>10%</w:t>
            </w:r>
          </w:p>
        </w:tc>
      </w:tr>
      <w:tr w:rsidR="00FF1399" w:rsidTr="00A92922">
        <w:trPr>
          <w:trHeight w:val="315"/>
        </w:trPr>
        <w:tc>
          <w:tcPr>
            <w:tcW w:w="3703" w:type="dxa"/>
            <w:tcBorders>
              <w:top w:val="nil"/>
              <w:left w:val="single" w:sz="8" w:space="0" w:color="auto"/>
              <w:bottom w:val="nil"/>
              <w:right w:val="nil"/>
            </w:tcBorders>
            <w:shd w:val="clear" w:color="auto" w:fill="auto"/>
            <w:vAlign w:val="center"/>
            <w:hideMark/>
          </w:tcPr>
          <w:p w:rsidR="000024E5" w:rsidRPr="00200070" w:rsidRDefault="0076494B" w:rsidP="00A92922">
            <w:pPr>
              <w:jc w:val="center"/>
              <w:rPr>
                <w:rFonts w:ascii="Arial" w:hAnsi="Arial" w:cs="Arial"/>
                <w:b/>
                <w:bCs/>
                <w:color w:val="000000"/>
              </w:rPr>
            </w:pPr>
            <w:r w:rsidRPr="00200070">
              <w:rPr>
                <w:rFonts w:ascii="Arial" w:hAnsi="Arial" w:cs="Arial"/>
                <w:b/>
                <w:bCs/>
                <w:color w:val="000000"/>
              </w:rPr>
              <w:t> </w:t>
            </w:r>
          </w:p>
        </w:tc>
        <w:tc>
          <w:tcPr>
            <w:tcW w:w="1497" w:type="dxa"/>
            <w:tcBorders>
              <w:top w:val="nil"/>
              <w:left w:val="nil"/>
              <w:bottom w:val="nil"/>
              <w:right w:val="nil"/>
            </w:tcBorders>
            <w:shd w:val="clear" w:color="auto" w:fill="auto"/>
            <w:vAlign w:val="center"/>
            <w:hideMark/>
          </w:tcPr>
          <w:p w:rsidR="000024E5" w:rsidRPr="00200070" w:rsidRDefault="0076494B" w:rsidP="00A92922">
            <w:pPr>
              <w:jc w:val="center"/>
              <w:rPr>
                <w:rFonts w:ascii="Arial" w:hAnsi="Arial" w:cs="Arial"/>
                <w:b/>
                <w:bCs/>
                <w:color w:val="000000"/>
              </w:rPr>
            </w:pPr>
          </w:p>
        </w:tc>
        <w:tc>
          <w:tcPr>
            <w:tcW w:w="1580" w:type="dxa"/>
            <w:tcBorders>
              <w:top w:val="nil"/>
              <w:left w:val="nil"/>
              <w:bottom w:val="nil"/>
              <w:right w:val="nil"/>
            </w:tcBorders>
            <w:shd w:val="clear" w:color="auto" w:fill="auto"/>
            <w:noWrap/>
            <w:vAlign w:val="center"/>
            <w:hideMark/>
          </w:tcPr>
          <w:p w:rsidR="000024E5" w:rsidRPr="00200070" w:rsidRDefault="0076494B" w:rsidP="00A92922">
            <w:pPr>
              <w:jc w:val="center"/>
              <w:rPr>
                <w:sz w:val="20"/>
                <w:szCs w:val="20"/>
              </w:rPr>
            </w:pPr>
          </w:p>
        </w:tc>
        <w:tc>
          <w:tcPr>
            <w:tcW w:w="1580" w:type="dxa"/>
            <w:tcBorders>
              <w:top w:val="nil"/>
              <w:left w:val="nil"/>
              <w:bottom w:val="nil"/>
              <w:right w:val="nil"/>
            </w:tcBorders>
            <w:shd w:val="clear" w:color="auto" w:fill="auto"/>
            <w:noWrap/>
            <w:vAlign w:val="center"/>
            <w:hideMark/>
          </w:tcPr>
          <w:p w:rsidR="000024E5" w:rsidRPr="00200070" w:rsidRDefault="0076494B" w:rsidP="00A92922">
            <w:pPr>
              <w:jc w:val="center"/>
              <w:rPr>
                <w:sz w:val="20"/>
                <w:szCs w:val="20"/>
              </w:rPr>
            </w:pPr>
          </w:p>
        </w:tc>
        <w:tc>
          <w:tcPr>
            <w:tcW w:w="1500" w:type="dxa"/>
            <w:tcBorders>
              <w:top w:val="nil"/>
              <w:left w:val="nil"/>
              <w:bottom w:val="nil"/>
              <w:right w:val="single" w:sz="8" w:space="0" w:color="auto"/>
            </w:tcBorders>
            <w:shd w:val="clear" w:color="auto" w:fill="auto"/>
            <w:noWrap/>
            <w:vAlign w:val="center"/>
            <w:hideMark/>
          </w:tcPr>
          <w:p w:rsidR="000024E5" w:rsidRPr="00200070" w:rsidRDefault="0076494B" w:rsidP="00A92922">
            <w:pPr>
              <w:jc w:val="center"/>
              <w:rPr>
                <w:rFonts w:ascii="Arial" w:hAnsi="Arial" w:cs="Arial"/>
                <w:b/>
                <w:bCs/>
                <w:color w:val="000000"/>
              </w:rPr>
            </w:pPr>
            <w:r w:rsidRPr="00200070">
              <w:rPr>
                <w:rFonts w:ascii="Arial" w:hAnsi="Arial" w:cs="Arial"/>
                <w:b/>
                <w:bCs/>
                <w:color w:val="000000"/>
              </w:rPr>
              <w:t> </w:t>
            </w:r>
          </w:p>
        </w:tc>
      </w:tr>
      <w:tr w:rsidR="00FF1399" w:rsidTr="00A92922">
        <w:trPr>
          <w:trHeight w:val="315"/>
        </w:trPr>
        <w:tc>
          <w:tcPr>
            <w:tcW w:w="370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24E5" w:rsidRPr="00200070" w:rsidRDefault="0076494B" w:rsidP="00A92922">
            <w:pPr>
              <w:jc w:val="center"/>
              <w:rPr>
                <w:rFonts w:ascii="Arial" w:hAnsi="Arial" w:cs="Arial"/>
                <w:b/>
                <w:bCs/>
                <w:color w:val="000000"/>
              </w:rPr>
            </w:pPr>
            <w:r w:rsidRPr="00200070">
              <w:rPr>
                <w:rFonts w:ascii="Arial" w:hAnsi="Arial" w:cs="Arial"/>
                <w:b/>
                <w:bCs/>
                <w:color w:val="000000"/>
              </w:rPr>
              <w:t>All</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0024E5" w:rsidRPr="00200070" w:rsidRDefault="0076494B" w:rsidP="00A92922">
            <w:pPr>
              <w:jc w:val="center"/>
              <w:rPr>
                <w:rFonts w:ascii="Arial" w:hAnsi="Arial" w:cs="Arial"/>
                <w:b/>
                <w:bCs/>
                <w:color w:val="000000"/>
              </w:rPr>
            </w:pPr>
            <w:r w:rsidRPr="00200070">
              <w:rPr>
                <w:rFonts w:ascii="Arial" w:hAnsi="Arial" w:cs="Arial"/>
                <w:b/>
                <w:bCs/>
                <w:color w:val="000000"/>
              </w:rPr>
              <w:t>146</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024E5" w:rsidRPr="00200070" w:rsidRDefault="0076494B" w:rsidP="00A92922">
            <w:pPr>
              <w:jc w:val="center"/>
              <w:rPr>
                <w:rFonts w:ascii="Arial" w:hAnsi="Arial" w:cs="Arial"/>
                <w:b/>
                <w:bCs/>
                <w:color w:val="000000"/>
              </w:rPr>
            </w:pPr>
            <w:r w:rsidRPr="00200070">
              <w:rPr>
                <w:rFonts w:ascii="Arial" w:hAnsi="Arial" w:cs="Arial"/>
                <w:b/>
                <w:bCs/>
                <w:color w:val="000000"/>
              </w:rPr>
              <w:t>108</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024E5" w:rsidRPr="00200070" w:rsidRDefault="0076494B" w:rsidP="00A92922">
            <w:pPr>
              <w:jc w:val="center"/>
              <w:rPr>
                <w:rFonts w:ascii="Arial" w:hAnsi="Arial" w:cs="Arial"/>
                <w:b/>
                <w:bCs/>
                <w:color w:val="000000"/>
              </w:rPr>
            </w:pPr>
            <w:r w:rsidRPr="00200070">
              <w:rPr>
                <w:rFonts w:ascii="Arial" w:hAnsi="Arial" w:cs="Arial"/>
                <w:b/>
                <w:bCs/>
                <w:color w:val="000000"/>
              </w:rPr>
              <w:t>12</w:t>
            </w:r>
          </w:p>
        </w:tc>
        <w:tc>
          <w:tcPr>
            <w:tcW w:w="1500" w:type="dxa"/>
            <w:tcBorders>
              <w:top w:val="single" w:sz="4" w:space="0" w:color="auto"/>
              <w:left w:val="nil"/>
              <w:bottom w:val="single" w:sz="4" w:space="0" w:color="auto"/>
              <w:right w:val="single" w:sz="8" w:space="0" w:color="auto"/>
            </w:tcBorders>
            <w:shd w:val="clear" w:color="auto" w:fill="auto"/>
            <w:vAlign w:val="center"/>
            <w:hideMark/>
          </w:tcPr>
          <w:p w:rsidR="000024E5" w:rsidRPr="00200070" w:rsidRDefault="0076494B" w:rsidP="00A92922">
            <w:pPr>
              <w:jc w:val="center"/>
              <w:rPr>
                <w:rFonts w:ascii="Arial" w:hAnsi="Arial" w:cs="Arial"/>
                <w:b/>
                <w:bCs/>
                <w:color w:val="000000"/>
              </w:rPr>
            </w:pPr>
            <w:r w:rsidRPr="00200070">
              <w:rPr>
                <w:rFonts w:ascii="Arial" w:hAnsi="Arial" w:cs="Arial"/>
                <w:b/>
                <w:bCs/>
                <w:color w:val="000000"/>
              </w:rPr>
              <w:t>26</w:t>
            </w:r>
          </w:p>
        </w:tc>
      </w:tr>
      <w:tr w:rsidR="00FF1399" w:rsidTr="00A92922">
        <w:trPr>
          <w:trHeight w:val="330"/>
        </w:trPr>
        <w:tc>
          <w:tcPr>
            <w:tcW w:w="3703" w:type="dxa"/>
            <w:tcBorders>
              <w:top w:val="nil"/>
              <w:left w:val="single" w:sz="8" w:space="0" w:color="auto"/>
              <w:bottom w:val="single" w:sz="8" w:space="0" w:color="auto"/>
              <w:right w:val="nil"/>
            </w:tcBorders>
            <w:shd w:val="clear" w:color="auto" w:fill="auto"/>
            <w:vAlign w:val="center"/>
            <w:hideMark/>
          </w:tcPr>
          <w:p w:rsidR="000024E5" w:rsidRPr="00200070" w:rsidRDefault="0076494B" w:rsidP="00A92922">
            <w:pPr>
              <w:jc w:val="center"/>
              <w:rPr>
                <w:rFonts w:ascii="Arial" w:hAnsi="Arial" w:cs="Arial"/>
                <w:b/>
                <w:bCs/>
                <w:color w:val="000000"/>
              </w:rPr>
            </w:pPr>
            <w:r w:rsidRPr="00200070">
              <w:rPr>
                <w:rFonts w:ascii="Arial" w:hAnsi="Arial" w:cs="Arial"/>
                <w:b/>
                <w:bCs/>
                <w:color w:val="000000"/>
              </w:rPr>
              <w:t> </w:t>
            </w:r>
          </w:p>
        </w:tc>
        <w:tc>
          <w:tcPr>
            <w:tcW w:w="1497" w:type="dxa"/>
            <w:tcBorders>
              <w:top w:val="nil"/>
              <w:left w:val="nil"/>
              <w:bottom w:val="single" w:sz="8" w:space="0" w:color="auto"/>
              <w:right w:val="nil"/>
            </w:tcBorders>
            <w:shd w:val="clear" w:color="auto" w:fill="auto"/>
            <w:vAlign w:val="center"/>
            <w:hideMark/>
          </w:tcPr>
          <w:p w:rsidR="000024E5" w:rsidRPr="00200070" w:rsidRDefault="0076494B" w:rsidP="00A92922">
            <w:pPr>
              <w:jc w:val="center"/>
              <w:rPr>
                <w:rFonts w:ascii="Arial" w:hAnsi="Arial" w:cs="Arial"/>
                <w:b/>
                <w:bCs/>
                <w:color w:val="000000"/>
              </w:rPr>
            </w:pPr>
            <w:r w:rsidRPr="00200070">
              <w:rPr>
                <w:rFonts w:ascii="Arial" w:hAnsi="Arial" w:cs="Arial"/>
                <w:b/>
                <w:bCs/>
                <w:color w:val="000000"/>
              </w:rPr>
              <w:t> </w:t>
            </w:r>
          </w:p>
        </w:tc>
        <w:tc>
          <w:tcPr>
            <w:tcW w:w="1580" w:type="dxa"/>
            <w:tcBorders>
              <w:top w:val="nil"/>
              <w:left w:val="single" w:sz="4" w:space="0" w:color="auto"/>
              <w:bottom w:val="single" w:sz="8" w:space="0" w:color="auto"/>
              <w:right w:val="single" w:sz="4" w:space="0" w:color="auto"/>
            </w:tcBorders>
            <w:shd w:val="clear" w:color="auto" w:fill="auto"/>
            <w:noWrap/>
            <w:vAlign w:val="center"/>
            <w:hideMark/>
          </w:tcPr>
          <w:p w:rsidR="000024E5" w:rsidRPr="00200070" w:rsidRDefault="0076494B" w:rsidP="00A92922">
            <w:pPr>
              <w:jc w:val="center"/>
              <w:rPr>
                <w:rFonts w:ascii="Arial" w:hAnsi="Arial" w:cs="Arial"/>
                <w:b/>
                <w:bCs/>
                <w:color w:val="000000"/>
              </w:rPr>
            </w:pPr>
            <w:r w:rsidRPr="00200070">
              <w:rPr>
                <w:rFonts w:ascii="Arial" w:hAnsi="Arial" w:cs="Arial"/>
                <w:b/>
                <w:bCs/>
                <w:color w:val="000000"/>
              </w:rPr>
              <w:t>74%</w:t>
            </w:r>
          </w:p>
        </w:tc>
        <w:tc>
          <w:tcPr>
            <w:tcW w:w="1580" w:type="dxa"/>
            <w:tcBorders>
              <w:top w:val="nil"/>
              <w:left w:val="nil"/>
              <w:bottom w:val="single" w:sz="8" w:space="0" w:color="auto"/>
              <w:right w:val="single" w:sz="4" w:space="0" w:color="auto"/>
            </w:tcBorders>
            <w:shd w:val="clear" w:color="auto" w:fill="auto"/>
            <w:noWrap/>
            <w:vAlign w:val="center"/>
            <w:hideMark/>
          </w:tcPr>
          <w:p w:rsidR="000024E5" w:rsidRPr="00200070" w:rsidRDefault="0076494B" w:rsidP="00A92922">
            <w:pPr>
              <w:jc w:val="center"/>
              <w:rPr>
                <w:rFonts w:ascii="Arial" w:hAnsi="Arial" w:cs="Arial"/>
                <w:b/>
                <w:bCs/>
                <w:color w:val="000000"/>
              </w:rPr>
            </w:pPr>
            <w:r w:rsidRPr="00200070">
              <w:rPr>
                <w:rFonts w:ascii="Arial" w:hAnsi="Arial" w:cs="Arial"/>
                <w:b/>
                <w:bCs/>
                <w:color w:val="000000"/>
              </w:rPr>
              <w:t>8%</w:t>
            </w:r>
          </w:p>
        </w:tc>
        <w:tc>
          <w:tcPr>
            <w:tcW w:w="1500" w:type="dxa"/>
            <w:tcBorders>
              <w:top w:val="nil"/>
              <w:left w:val="nil"/>
              <w:bottom w:val="single" w:sz="8" w:space="0" w:color="auto"/>
              <w:right w:val="single" w:sz="8" w:space="0" w:color="auto"/>
            </w:tcBorders>
            <w:shd w:val="clear" w:color="auto" w:fill="auto"/>
            <w:noWrap/>
            <w:vAlign w:val="center"/>
            <w:hideMark/>
          </w:tcPr>
          <w:p w:rsidR="000024E5" w:rsidRPr="00200070" w:rsidRDefault="0076494B" w:rsidP="00A92922">
            <w:pPr>
              <w:jc w:val="center"/>
              <w:rPr>
                <w:rFonts w:ascii="Arial" w:hAnsi="Arial" w:cs="Arial"/>
                <w:b/>
                <w:bCs/>
                <w:color w:val="000000"/>
              </w:rPr>
            </w:pPr>
            <w:r w:rsidRPr="00200070">
              <w:rPr>
                <w:rFonts w:ascii="Arial" w:hAnsi="Arial" w:cs="Arial"/>
                <w:b/>
                <w:bCs/>
                <w:color w:val="000000"/>
              </w:rPr>
              <w:t>18%</w:t>
            </w:r>
          </w:p>
        </w:tc>
      </w:tr>
    </w:tbl>
    <w:p w:rsidR="000024E5" w:rsidRDefault="0076494B" w:rsidP="000024E5">
      <w:pPr>
        <w:jc w:val="both"/>
        <w:rPr>
          <w:rFonts w:ascii="Arial" w:hAnsi="Arial" w:cs="Arial"/>
          <w:b/>
        </w:rPr>
      </w:pPr>
    </w:p>
    <w:p w:rsidR="000024E5" w:rsidRDefault="0076494B" w:rsidP="000024E5">
      <w:pPr>
        <w:jc w:val="both"/>
        <w:rPr>
          <w:rFonts w:ascii="Arial" w:hAnsi="Arial" w:cs="Arial"/>
          <w:b/>
        </w:rPr>
      </w:pPr>
    </w:p>
    <w:p w:rsidR="000024E5" w:rsidRDefault="0076494B" w:rsidP="000024E5">
      <w:pPr>
        <w:jc w:val="both"/>
        <w:rPr>
          <w:rFonts w:ascii="Arial" w:hAnsi="Arial" w:cs="Arial"/>
          <w:b/>
        </w:rPr>
      </w:pPr>
    </w:p>
    <w:p w:rsidR="000024E5" w:rsidRDefault="0076494B" w:rsidP="000024E5">
      <w:pPr>
        <w:jc w:val="both"/>
        <w:rPr>
          <w:rFonts w:ascii="Arial" w:hAnsi="Arial" w:cs="Arial"/>
          <w:b/>
        </w:rPr>
      </w:pPr>
      <w:r>
        <w:rPr>
          <w:rFonts w:ascii="Arial" w:hAnsi="Arial" w:cs="Arial"/>
          <w:b/>
        </w:rPr>
        <w:t>Question 1 Comments</w:t>
      </w:r>
    </w:p>
    <w:p w:rsidR="000024E5" w:rsidRDefault="0076494B" w:rsidP="000024E5">
      <w:pPr>
        <w:jc w:val="both"/>
        <w:rPr>
          <w:rFonts w:ascii="Arial" w:hAnsi="Arial" w:cs="Arial"/>
          <w:b/>
        </w:rPr>
      </w:pPr>
    </w:p>
    <w:tbl>
      <w:tblPr>
        <w:tblW w:w="5093" w:type="pct"/>
        <w:tblLook w:val="04A0" w:firstRow="1" w:lastRow="0" w:firstColumn="1" w:lastColumn="0" w:noHBand="0" w:noVBand="1"/>
      </w:tblPr>
      <w:tblGrid>
        <w:gridCol w:w="9917"/>
      </w:tblGrid>
      <w:tr w:rsidR="00FF1399" w:rsidTr="00A92922">
        <w:trPr>
          <w:trHeight w:val="552"/>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24E5" w:rsidRPr="00032E92" w:rsidRDefault="0076494B" w:rsidP="00A92922">
            <w:pPr>
              <w:rPr>
                <w:rFonts w:ascii="Arial" w:hAnsi="Arial" w:cs="Arial"/>
                <w:color w:val="000000"/>
                <w:szCs w:val="20"/>
              </w:rPr>
            </w:pPr>
            <w:r w:rsidRPr="00032E92">
              <w:rPr>
                <w:rFonts w:ascii="Arial" w:hAnsi="Arial" w:cs="Arial"/>
                <w:color w:val="000000"/>
                <w:szCs w:val="20"/>
              </w:rPr>
              <w:t xml:space="preserve">May be other issues in the future that may need that factor but not sure. </w:t>
            </w:r>
          </w:p>
        </w:tc>
      </w:tr>
      <w:tr w:rsidR="00FF1399" w:rsidTr="00A92922">
        <w:trPr>
          <w:trHeight w:val="552"/>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0024E5" w:rsidRPr="00032E92" w:rsidRDefault="0076494B" w:rsidP="00A92922">
            <w:pPr>
              <w:rPr>
                <w:rFonts w:ascii="Arial" w:hAnsi="Arial" w:cs="Arial"/>
                <w:color w:val="000000"/>
                <w:szCs w:val="20"/>
              </w:rPr>
            </w:pPr>
            <w:r w:rsidRPr="00032E92">
              <w:rPr>
                <w:rFonts w:ascii="Arial" w:hAnsi="Arial" w:cs="Arial"/>
                <w:color w:val="000000"/>
                <w:szCs w:val="20"/>
              </w:rPr>
              <w:t xml:space="preserve">I genuinely don't understand this. Post LAC was always part of the PP funding by LAC has for some time been separately </w:t>
            </w:r>
            <w:r w:rsidRPr="00032E92">
              <w:rPr>
                <w:rFonts w:ascii="Arial" w:hAnsi="Arial" w:cs="Arial"/>
                <w:color w:val="000000"/>
                <w:szCs w:val="20"/>
              </w:rPr>
              <w:t>managed. It isn't clear to me what this change will mean.</w:t>
            </w:r>
          </w:p>
        </w:tc>
      </w:tr>
      <w:tr w:rsidR="00FF1399" w:rsidTr="00A92922">
        <w:trPr>
          <w:trHeight w:val="552"/>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0024E5" w:rsidRPr="00032E92" w:rsidRDefault="0076494B" w:rsidP="00A92922">
            <w:pPr>
              <w:rPr>
                <w:rFonts w:ascii="Arial" w:hAnsi="Arial" w:cs="Arial"/>
                <w:color w:val="000000"/>
                <w:szCs w:val="20"/>
              </w:rPr>
            </w:pPr>
            <w:r w:rsidRPr="00032E92">
              <w:rPr>
                <w:rFonts w:ascii="Arial" w:hAnsi="Arial" w:cs="Arial"/>
                <w:color w:val="000000"/>
                <w:szCs w:val="20"/>
              </w:rPr>
              <w:t>This school will lose out financially with this method.  Pupil Premium Plus funding is not all passported direct to schools, some is top-sliced at Virtual School level.</w:t>
            </w:r>
          </w:p>
        </w:tc>
      </w:tr>
      <w:tr w:rsidR="00FF1399" w:rsidTr="00A92922">
        <w:trPr>
          <w:trHeight w:val="552"/>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0024E5" w:rsidRPr="00032E92" w:rsidRDefault="0076494B" w:rsidP="00A92922">
            <w:pPr>
              <w:rPr>
                <w:rFonts w:ascii="Arial" w:hAnsi="Arial" w:cs="Arial"/>
                <w:color w:val="000000"/>
                <w:szCs w:val="20"/>
              </w:rPr>
            </w:pPr>
            <w:r w:rsidRPr="00032E92">
              <w:rPr>
                <w:rFonts w:ascii="Arial" w:hAnsi="Arial" w:cs="Arial"/>
                <w:color w:val="000000"/>
                <w:szCs w:val="20"/>
              </w:rPr>
              <w:t>As long as allocation level</w:t>
            </w:r>
            <w:r w:rsidRPr="00032E92">
              <w:rPr>
                <w:rFonts w:ascii="Arial" w:hAnsi="Arial" w:cs="Arial"/>
                <w:color w:val="000000"/>
                <w:szCs w:val="20"/>
              </w:rPr>
              <w:t>s remain the same</w:t>
            </w:r>
          </w:p>
        </w:tc>
      </w:tr>
      <w:tr w:rsidR="00FF1399" w:rsidTr="00A92922">
        <w:trPr>
          <w:trHeight w:val="552"/>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0024E5" w:rsidRPr="00032E92" w:rsidRDefault="0076494B" w:rsidP="00A92922">
            <w:pPr>
              <w:rPr>
                <w:rFonts w:ascii="Arial" w:hAnsi="Arial" w:cs="Arial"/>
                <w:color w:val="000000"/>
                <w:szCs w:val="20"/>
              </w:rPr>
            </w:pPr>
            <w:r w:rsidRPr="00032E92">
              <w:rPr>
                <w:rFonts w:ascii="Arial" w:hAnsi="Arial" w:cs="Arial"/>
                <w:color w:val="000000"/>
                <w:szCs w:val="20"/>
              </w:rPr>
              <w:t>As long as we get the allocations were are entitled and funding is transparent</w:t>
            </w:r>
          </w:p>
        </w:tc>
      </w:tr>
      <w:tr w:rsidR="00FF1399" w:rsidTr="00A92922">
        <w:trPr>
          <w:trHeight w:val="552"/>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0024E5" w:rsidRPr="00032E92" w:rsidRDefault="0076494B" w:rsidP="00A92922">
            <w:pPr>
              <w:rPr>
                <w:rFonts w:ascii="Arial" w:hAnsi="Arial" w:cs="Arial"/>
                <w:color w:val="000000"/>
                <w:szCs w:val="20"/>
              </w:rPr>
            </w:pPr>
            <w:r w:rsidRPr="00032E92">
              <w:rPr>
                <w:rFonts w:ascii="Arial" w:hAnsi="Arial" w:cs="Arial"/>
                <w:color w:val="000000"/>
                <w:szCs w:val="20"/>
              </w:rPr>
              <w:t>Will we still submit the PEP form through the Virtual School</w:t>
            </w:r>
          </w:p>
        </w:tc>
      </w:tr>
    </w:tbl>
    <w:p w:rsidR="000024E5" w:rsidRDefault="0076494B" w:rsidP="000024E5">
      <w:pPr>
        <w:jc w:val="both"/>
        <w:rPr>
          <w:rFonts w:ascii="Arial" w:hAnsi="Arial" w:cs="Arial"/>
          <w:b/>
        </w:rPr>
      </w:pPr>
    </w:p>
    <w:p w:rsidR="000024E5" w:rsidRDefault="0076494B" w:rsidP="000024E5">
      <w:pPr>
        <w:jc w:val="both"/>
        <w:rPr>
          <w:rFonts w:ascii="Arial" w:hAnsi="Arial" w:cs="Arial"/>
          <w:b/>
        </w:rPr>
      </w:pPr>
    </w:p>
    <w:p w:rsidR="000024E5" w:rsidRDefault="0076494B" w:rsidP="000024E5">
      <w:pPr>
        <w:spacing w:after="200" w:line="276" w:lineRule="auto"/>
        <w:rPr>
          <w:rFonts w:ascii="Arial" w:hAnsi="Arial" w:cs="Arial"/>
          <w:b/>
        </w:rPr>
      </w:pPr>
      <w:r>
        <w:rPr>
          <w:rFonts w:ascii="Arial" w:hAnsi="Arial" w:cs="Arial"/>
          <w:b/>
        </w:rPr>
        <w:br w:type="page"/>
      </w:r>
    </w:p>
    <w:tbl>
      <w:tblPr>
        <w:tblW w:w="9900" w:type="dxa"/>
        <w:tblLook w:val="04A0" w:firstRow="1" w:lastRow="0" w:firstColumn="1" w:lastColumn="0" w:noHBand="0" w:noVBand="1"/>
      </w:tblPr>
      <w:tblGrid>
        <w:gridCol w:w="3720"/>
        <w:gridCol w:w="1497"/>
        <w:gridCol w:w="1603"/>
        <w:gridCol w:w="1580"/>
        <w:gridCol w:w="1500"/>
      </w:tblGrid>
      <w:tr w:rsidR="00FF1399" w:rsidTr="00A92922">
        <w:trPr>
          <w:trHeight w:val="735"/>
        </w:trPr>
        <w:tc>
          <w:tcPr>
            <w:tcW w:w="9900" w:type="dxa"/>
            <w:gridSpan w:val="5"/>
            <w:tcBorders>
              <w:top w:val="single" w:sz="8" w:space="0" w:color="auto"/>
              <w:left w:val="single" w:sz="8" w:space="0" w:color="auto"/>
              <w:bottom w:val="single" w:sz="4" w:space="0" w:color="auto"/>
              <w:right w:val="single" w:sz="8" w:space="0" w:color="000000"/>
            </w:tcBorders>
            <w:shd w:val="clear" w:color="000000" w:fill="D9D9D9"/>
            <w:vAlign w:val="center"/>
            <w:hideMark/>
          </w:tcPr>
          <w:p w:rsidR="000024E5" w:rsidRPr="00200070" w:rsidRDefault="0076494B" w:rsidP="00A92922">
            <w:pPr>
              <w:rPr>
                <w:rFonts w:ascii="Arial" w:hAnsi="Arial" w:cs="Arial"/>
                <w:b/>
                <w:bCs/>
                <w:color w:val="000000"/>
              </w:rPr>
            </w:pPr>
            <w:r w:rsidRPr="00200070">
              <w:rPr>
                <w:rFonts w:ascii="Arial" w:hAnsi="Arial" w:cs="Arial"/>
                <w:b/>
                <w:bCs/>
                <w:color w:val="000000"/>
              </w:rPr>
              <w:lastRenderedPageBreak/>
              <w:t xml:space="preserve">Question 2: Please let us know your preferred option for distributing the Lancashire </w:t>
            </w:r>
            <w:r w:rsidRPr="00200070">
              <w:rPr>
                <w:rFonts w:ascii="Arial" w:hAnsi="Arial" w:cs="Arial"/>
                <w:b/>
                <w:bCs/>
                <w:color w:val="000000"/>
              </w:rPr>
              <w:t>Schools Block in 2018/19.</w:t>
            </w:r>
          </w:p>
        </w:tc>
      </w:tr>
      <w:tr w:rsidR="00FF1399" w:rsidTr="00A92922">
        <w:trPr>
          <w:trHeight w:val="945"/>
        </w:trPr>
        <w:tc>
          <w:tcPr>
            <w:tcW w:w="3720" w:type="dxa"/>
            <w:tcBorders>
              <w:top w:val="nil"/>
              <w:left w:val="single" w:sz="8" w:space="0" w:color="auto"/>
              <w:bottom w:val="nil"/>
              <w:right w:val="nil"/>
            </w:tcBorders>
            <w:shd w:val="clear" w:color="auto" w:fill="auto"/>
            <w:vAlign w:val="center"/>
            <w:hideMark/>
          </w:tcPr>
          <w:p w:rsidR="000024E5" w:rsidRPr="00200070" w:rsidRDefault="0076494B" w:rsidP="00A92922">
            <w:pPr>
              <w:rPr>
                <w:rFonts w:ascii="Arial" w:hAnsi="Arial" w:cs="Arial"/>
                <w:b/>
                <w:bCs/>
                <w:color w:val="000000"/>
              </w:rPr>
            </w:pPr>
            <w:r w:rsidRPr="00200070">
              <w:rPr>
                <w:rFonts w:ascii="Arial" w:hAnsi="Arial" w:cs="Arial"/>
                <w:b/>
                <w:bCs/>
                <w:color w:val="000000"/>
              </w:rPr>
              <w:t> </w:t>
            </w:r>
          </w:p>
        </w:tc>
        <w:tc>
          <w:tcPr>
            <w:tcW w:w="1497" w:type="dxa"/>
            <w:tcBorders>
              <w:top w:val="nil"/>
              <w:left w:val="single" w:sz="4" w:space="0" w:color="auto"/>
              <w:bottom w:val="single" w:sz="4" w:space="0" w:color="auto"/>
              <w:right w:val="single" w:sz="4" w:space="0" w:color="auto"/>
            </w:tcBorders>
            <w:shd w:val="clear" w:color="auto" w:fill="auto"/>
            <w:vAlign w:val="center"/>
            <w:hideMark/>
          </w:tcPr>
          <w:p w:rsidR="000024E5" w:rsidRPr="00200070" w:rsidRDefault="0076494B" w:rsidP="00A92922">
            <w:pPr>
              <w:jc w:val="center"/>
              <w:rPr>
                <w:rFonts w:ascii="Arial" w:hAnsi="Arial" w:cs="Arial"/>
                <w:b/>
                <w:bCs/>
                <w:color w:val="000000"/>
              </w:rPr>
            </w:pPr>
            <w:r w:rsidRPr="00200070">
              <w:rPr>
                <w:rFonts w:ascii="Arial" w:hAnsi="Arial" w:cs="Arial"/>
                <w:b/>
                <w:bCs/>
                <w:color w:val="000000"/>
              </w:rPr>
              <w:t>Total Responses</w:t>
            </w:r>
          </w:p>
        </w:tc>
        <w:tc>
          <w:tcPr>
            <w:tcW w:w="1603" w:type="dxa"/>
            <w:tcBorders>
              <w:top w:val="nil"/>
              <w:left w:val="nil"/>
              <w:bottom w:val="single" w:sz="4" w:space="0" w:color="auto"/>
              <w:right w:val="single" w:sz="4" w:space="0" w:color="auto"/>
            </w:tcBorders>
            <w:shd w:val="clear" w:color="auto" w:fill="auto"/>
            <w:vAlign w:val="center"/>
            <w:hideMark/>
          </w:tcPr>
          <w:p w:rsidR="000024E5" w:rsidRPr="00200070" w:rsidRDefault="0076494B" w:rsidP="00A92922">
            <w:pPr>
              <w:jc w:val="center"/>
              <w:rPr>
                <w:rFonts w:ascii="Arial" w:hAnsi="Arial" w:cs="Arial"/>
                <w:b/>
                <w:bCs/>
                <w:color w:val="000000"/>
              </w:rPr>
            </w:pPr>
            <w:r w:rsidRPr="00200070">
              <w:rPr>
                <w:rFonts w:ascii="Arial" w:hAnsi="Arial" w:cs="Arial"/>
                <w:b/>
                <w:bCs/>
                <w:color w:val="000000"/>
              </w:rPr>
              <w:t>Option 1 Passporting</w:t>
            </w:r>
          </w:p>
        </w:tc>
        <w:tc>
          <w:tcPr>
            <w:tcW w:w="1580" w:type="dxa"/>
            <w:tcBorders>
              <w:top w:val="nil"/>
              <w:left w:val="nil"/>
              <w:bottom w:val="single" w:sz="4" w:space="0" w:color="auto"/>
              <w:right w:val="single" w:sz="4" w:space="0" w:color="auto"/>
            </w:tcBorders>
            <w:shd w:val="clear" w:color="auto" w:fill="auto"/>
            <w:vAlign w:val="center"/>
            <w:hideMark/>
          </w:tcPr>
          <w:p w:rsidR="000024E5" w:rsidRPr="00200070" w:rsidRDefault="0076494B" w:rsidP="00A92922">
            <w:pPr>
              <w:jc w:val="center"/>
              <w:rPr>
                <w:rFonts w:ascii="Arial" w:hAnsi="Arial" w:cs="Arial"/>
                <w:b/>
                <w:bCs/>
                <w:color w:val="000000"/>
              </w:rPr>
            </w:pPr>
            <w:r w:rsidRPr="00200070">
              <w:rPr>
                <w:rFonts w:ascii="Arial" w:hAnsi="Arial" w:cs="Arial"/>
                <w:b/>
                <w:bCs/>
                <w:color w:val="000000"/>
              </w:rPr>
              <w:t>Option 2 LCC Formula</w:t>
            </w:r>
          </w:p>
        </w:tc>
        <w:tc>
          <w:tcPr>
            <w:tcW w:w="1500" w:type="dxa"/>
            <w:tcBorders>
              <w:top w:val="nil"/>
              <w:left w:val="nil"/>
              <w:bottom w:val="single" w:sz="4" w:space="0" w:color="auto"/>
              <w:right w:val="single" w:sz="8" w:space="0" w:color="auto"/>
            </w:tcBorders>
            <w:shd w:val="clear" w:color="auto" w:fill="auto"/>
            <w:vAlign w:val="center"/>
            <w:hideMark/>
          </w:tcPr>
          <w:p w:rsidR="000024E5" w:rsidRPr="00200070" w:rsidRDefault="0076494B" w:rsidP="00A92922">
            <w:pPr>
              <w:jc w:val="center"/>
              <w:rPr>
                <w:rFonts w:ascii="Arial" w:hAnsi="Arial" w:cs="Arial"/>
                <w:b/>
                <w:bCs/>
                <w:color w:val="000000"/>
              </w:rPr>
            </w:pPr>
            <w:r w:rsidRPr="00200070">
              <w:rPr>
                <w:rFonts w:ascii="Arial" w:hAnsi="Arial" w:cs="Arial"/>
                <w:b/>
                <w:bCs/>
                <w:color w:val="000000"/>
              </w:rPr>
              <w:t>Option 3 Hybrid</w:t>
            </w:r>
          </w:p>
        </w:tc>
      </w:tr>
      <w:tr w:rsidR="00FF1399" w:rsidTr="00A92922">
        <w:trPr>
          <w:trHeight w:val="480"/>
        </w:trPr>
        <w:tc>
          <w:tcPr>
            <w:tcW w:w="3720" w:type="dxa"/>
            <w:tcBorders>
              <w:top w:val="nil"/>
              <w:left w:val="single" w:sz="8" w:space="0" w:color="auto"/>
              <w:bottom w:val="nil"/>
              <w:right w:val="nil"/>
            </w:tcBorders>
            <w:shd w:val="clear" w:color="000000" w:fill="FF0000"/>
            <w:vAlign w:val="center"/>
            <w:hideMark/>
          </w:tcPr>
          <w:p w:rsidR="000024E5" w:rsidRPr="00200070" w:rsidRDefault="0076494B" w:rsidP="00A92922">
            <w:pPr>
              <w:jc w:val="right"/>
              <w:rPr>
                <w:rFonts w:ascii="Arial" w:hAnsi="Arial" w:cs="Arial"/>
                <w:b/>
                <w:bCs/>
                <w:color w:val="000000"/>
              </w:rPr>
            </w:pPr>
            <w:r w:rsidRPr="00200070">
              <w:rPr>
                <w:rFonts w:ascii="Arial" w:hAnsi="Arial" w:cs="Arial"/>
                <w:b/>
                <w:bCs/>
                <w:color w:val="000000"/>
              </w:rPr>
              <w:t>Primary School / Academy</w:t>
            </w:r>
          </w:p>
        </w:tc>
        <w:tc>
          <w:tcPr>
            <w:tcW w:w="1497" w:type="dxa"/>
            <w:tcBorders>
              <w:top w:val="nil"/>
              <w:left w:val="single" w:sz="4" w:space="0" w:color="auto"/>
              <w:bottom w:val="single" w:sz="4" w:space="0" w:color="auto"/>
              <w:right w:val="single" w:sz="4" w:space="0" w:color="auto"/>
            </w:tcBorders>
            <w:shd w:val="clear" w:color="auto" w:fill="auto"/>
            <w:noWrap/>
            <w:vAlign w:val="center"/>
            <w:hideMark/>
          </w:tcPr>
          <w:p w:rsidR="000024E5" w:rsidRPr="00200070" w:rsidRDefault="0076494B" w:rsidP="00A92922">
            <w:pPr>
              <w:jc w:val="center"/>
              <w:rPr>
                <w:rFonts w:ascii="Arial" w:hAnsi="Arial" w:cs="Arial"/>
                <w:color w:val="000000"/>
              </w:rPr>
            </w:pPr>
            <w:r w:rsidRPr="00200070">
              <w:rPr>
                <w:rFonts w:ascii="Arial" w:hAnsi="Arial" w:cs="Arial"/>
                <w:color w:val="000000"/>
              </w:rPr>
              <w:t>115</w:t>
            </w:r>
          </w:p>
        </w:tc>
        <w:tc>
          <w:tcPr>
            <w:tcW w:w="1603" w:type="dxa"/>
            <w:tcBorders>
              <w:top w:val="nil"/>
              <w:left w:val="nil"/>
              <w:bottom w:val="single" w:sz="4" w:space="0" w:color="auto"/>
              <w:right w:val="single" w:sz="4" w:space="0" w:color="auto"/>
            </w:tcBorders>
            <w:shd w:val="clear" w:color="auto" w:fill="auto"/>
            <w:noWrap/>
            <w:vAlign w:val="center"/>
            <w:hideMark/>
          </w:tcPr>
          <w:p w:rsidR="000024E5" w:rsidRPr="00200070" w:rsidRDefault="0076494B" w:rsidP="00A92922">
            <w:pPr>
              <w:jc w:val="center"/>
              <w:rPr>
                <w:rFonts w:ascii="Arial" w:hAnsi="Arial" w:cs="Arial"/>
                <w:color w:val="000000"/>
              </w:rPr>
            </w:pPr>
            <w:r w:rsidRPr="00200070">
              <w:rPr>
                <w:rFonts w:ascii="Arial" w:hAnsi="Arial" w:cs="Arial"/>
                <w:color w:val="000000"/>
              </w:rPr>
              <w:t>50</w:t>
            </w:r>
          </w:p>
        </w:tc>
        <w:tc>
          <w:tcPr>
            <w:tcW w:w="1580" w:type="dxa"/>
            <w:tcBorders>
              <w:top w:val="nil"/>
              <w:left w:val="nil"/>
              <w:bottom w:val="single" w:sz="4" w:space="0" w:color="auto"/>
              <w:right w:val="single" w:sz="4" w:space="0" w:color="auto"/>
            </w:tcBorders>
            <w:shd w:val="clear" w:color="auto" w:fill="auto"/>
            <w:noWrap/>
            <w:vAlign w:val="center"/>
            <w:hideMark/>
          </w:tcPr>
          <w:p w:rsidR="000024E5" w:rsidRPr="00200070" w:rsidRDefault="0076494B" w:rsidP="00A92922">
            <w:pPr>
              <w:jc w:val="center"/>
              <w:rPr>
                <w:rFonts w:ascii="Arial" w:hAnsi="Arial" w:cs="Arial"/>
                <w:color w:val="000000"/>
              </w:rPr>
            </w:pPr>
            <w:r w:rsidRPr="00200070">
              <w:rPr>
                <w:rFonts w:ascii="Arial" w:hAnsi="Arial" w:cs="Arial"/>
                <w:color w:val="000000"/>
              </w:rPr>
              <w:t>31</w:t>
            </w:r>
          </w:p>
        </w:tc>
        <w:tc>
          <w:tcPr>
            <w:tcW w:w="1500" w:type="dxa"/>
            <w:tcBorders>
              <w:top w:val="nil"/>
              <w:left w:val="nil"/>
              <w:bottom w:val="single" w:sz="4" w:space="0" w:color="auto"/>
              <w:right w:val="single" w:sz="8" w:space="0" w:color="auto"/>
            </w:tcBorders>
            <w:shd w:val="clear" w:color="auto" w:fill="auto"/>
            <w:noWrap/>
            <w:vAlign w:val="center"/>
            <w:hideMark/>
          </w:tcPr>
          <w:p w:rsidR="000024E5" w:rsidRPr="00200070" w:rsidRDefault="0076494B" w:rsidP="00A92922">
            <w:pPr>
              <w:jc w:val="center"/>
              <w:rPr>
                <w:rFonts w:ascii="Arial" w:hAnsi="Arial" w:cs="Arial"/>
                <w:color w:val="000000"/>
              </w:rPr>
            </w:pPr>
            <w:r w:rsidRPr="00200070">
              <w:rPr>
                <w:rFonts w:ascii="Arial" w:hAnsi="Arial" w:cs="Arial"/>
                <w:color w:val="000000"/>
              </w:rPr>
              <w:t>34</w:t>
            </w:r>
          </w:p>
        </w:tc>
      </w:tr>
      <w:tr w:rsidR="00FF1399" w:rsidTr="00A92922">
        <w:trPr>
          <w:trHeight w:val="315"/>
        </w:trPr>
        <w:tc>
          <w:tcPr>
            <w:tcW w:w="3720" w:type="dxa"/>
            <w:tcBorders>
              <w:top w:val="nil"/>
              <w:left w:val="single" w:sz="8" w:space="0" w:color="auto"/>
              <w:bottom w:val="nil"/>
              <w:right w:val="nil"/>
            </w:tcBorders>
            <w:shd w:val="clear" w:color="auto" w:fill="auto"/>
            <w:vAlign w:val="center"/>
            <w:hideMark/>
          </w:tcPr>
          <w:p w:rsidR="000024E5" w:rsidRPr="00200070" w:rsidRDefault="0076494B" w:rsidP="00A92922">
            <w:pPr>
              <w:jc w:val="right"/>
              <w:rPr>
                <w:rFonts w:ascii="Arial" w:hAnsi="Arial" w:cs="Arial"/>
                <w:b/>
                <w:bCs/>
                <w:color w:val="000000"/>
              </w:rPr>
            </w:pPr>
            <w:r w:rsidRPr="00200070">
              <w:rPr>
                <w:rFonts w:ascii="Arial" w:hAnsi="Arial" w:cs="Arial"/>
                <w:b/>
                <w:bCs/>
                <w:color w:val="000000"/>
              </w:rPr>
              <w:t> </w:t>
            </w:r>
          </w:p>
        </w:tc>
        <w:tc>
          <w:tcPr>
            <w:tcW w:w="1497" w:type="dxa"/>
            <w:tcBorders>
              <w:top w:val="nil"/>
              <w:left w:val="nil"/>
              <w:bottom w:val="nil"/>
              <w:right w:val="nil"/>
            </w:tcBorders>
            <w:shd w:val="clear" w:color="auto" w:fill="auto"/>
            <w:vAlign w:val="center"/>
            <w:hideMark/>
          </w:tcPr>
          <w:p w:rsidR="000024E5" w:rsidRPr="00200070" w:rsidRDefault="0076494B" w:rsidP="00A92922">
            <w:pPr>
              <w:jc w:val="right"/>
              <w:rPr>
                <w:rFonts w:ascii="Arial" w:hAnsi="Arial" w:cs="Arial"/>
                <w:b/>
                <w:bCs/>
                <w:color w:val="000000"/>
              </w:rPr>
            </w:pPr>
          </w:p>
        </w:tc>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0024E5" w:rsidRPr="00200070" w:rsidRDefault="0076494B" w:rsidP="00A92922">
            <w:pPr>
              <w:jc w:val="center"/>
              <w:rPr>
                <w:rFonts w:ascii="Arial" w:hAnsi="Arial" w:cs="Arial"/>
                <w:b/>
                <w:bCs/>
                <w:color w:val="000000"/>
              </w:rPr>
            </w:pPr>
            <w:r w:rsidRPr="00200070">
              <w:rPr>
                <w:rFonts w:ascii="Arial" w:hAnsi="Arial" w:cs="Arial"/>
                <w:b/>
                <w:bCs/>
                <w:color w:val="000000"/>
              </w:rPr>
              <w:t>43%</w:t>
            </w:r>
          </w:p>
        </w:tc>
        <w:tc>
          <w:tcPr>
            <w:tcW w:w="1580" w:type="dxa"/>
            <w:tcBorders>
              <w:top w:val="nil"/>
              <w:left w:val="nil"/>
              <w:bottom w:val="single" w:sz="4" w:space="0" w:color="auto"/>
              <w:right w:val="single" w:sz="4" w:space="0" w:color="auto"/>
            </w:tcBorders>
            <w:shd w:val="clear" w:color="auto" w:fill="auto"/>
            <w:noWrap/>
            <w:vAlign w:val="center"/>
            <w:hideMark/>
          </w:tcPr>
          <w:p w:rsidR="000024E5" w:rsidRPr="00200070" w:rsidRDefault="0076494B" w:rsidP="00A92922">
            <w:pPr>
              <w:jc w:val="center"/>
              <w:rPr>
                <w:rFonts w:ascii="Arial" w:hAnsi="Arial" w:cs="Arial"/>
                <w:b/>
                <w:bCs/>
                <w:color w:val="000000"/>
              </w:rPr>
            </w:pPr>
            <w:r w:rsidRPr="00200070">
              <w:rPr>
                <w:rFonts w:ascii="Arial" w:hAnsi="Arial" w:cs="Arial"/>
                <w:b/>
                <w:bCs/>
                <w:color w:val="000000"/>
              </w:rPr>
              <w:t>27%</w:t>
            </w:r>
          </w:p>
        </w:tc>
        <w:tc>
          <w:tcPr>
            <w:tcW w:w="1500" w:type="dxa"/>
            <w:tcBorders>
              <w:top w:val="nil"/>
              <w:left w:val="nil"/>
              <w:bottom w:val="single" w:sz="4" w:space="0" w:color="auto"/>
              <w:right w:val="single" w:sz="8" w:space="0" w:color="auto"/>
            </w:tcBorders>
            <w:shd w:val="clear" w:color="auto" w:fill="auto"/>
            <w:noWrap/>
            <w:vAlign w:val="center"/>
            <w:hideMark/>
          </w:tcPr>
          <w:p w:rsidR="000024E5" w:rsidRPr="00200070" w:rsidRDefault="0076494B" w:rsidP="00A92922">
            <w:pPr>
              <w:jc w:val="center"/>
              <w:rPr>
                <w:rFonts w:ascii="Arial" w:hAnsi="Arial" w:cs="Arial"/>
                <w:b/>
                <w:bCs/>
                <w:color w:val="000000"/>
              </w:rPr>
            </w:pPr>
            <w:r w:rsidRPr="00200070">
              <w:rPr>
                <w:rFonts w:ascii="Arial" w:hAnsi="Arial" w:cs="Arial"/>
                <w:b/>
                <w:bCs/>
                <w:color w:val="000000"/>
              </w:rPr>
              <w:t>30%</w:t>
            </w:r>
          </w:p>
        </w:tc>
      </w:tr>
      <w:tr w:rsidR="00FF1399" w:rsidTr="00A92922">
        <w:trPr>
          <w:trHeight w:val="450"/>
        </w:trPr>
        <w:tc>
          <w:tcPr>
            <w:tcW w:w="3720" w:type="dxa"/>
            <w:tcBorders>
              <w:top w:val="nil"/>
              <w:left w:val="single" w:sz="8" w:space="0" w:color="auto"/>
              <w:bottom w:val="nil"/>
              <w:right w:val="nil"/>
            </w:tcBorders>
            <w:shd w:val="clear" w:color="000000" w:fill="95B3D7"/>
            <w:vAlign w:val="center"/>
            <w:hideMark/>
          </w:tcPr>
          <w:p w:rsidR="000024E5" w:rsidRPr="00200070" w:rsidRDefault="0076494B" w:rsidP="00A92922">
            <w:pPr>
              <w:jc w:val="right"/>
              <w:rPr>
                <w:rFonts w:ascii="Arial" w:hAnsi="Arial" w:cs="Arial"/>
                <w:b/>
                <w:bCs/>
                <w:color w:val="000000"/>
              </w:rPr>
            </w:pPr>
            <w:r w:rsidRPr="00200070">
              <w:rPr>
                <w:rFonts w:ascii="Arial" w:hAnsi="Arial" w:cs="Arial"/>
                <w:b/>
                <w:bCs/>
                <w:color w:val="000000"/>
              </w:rPr>
              <w:t>Secondary School / Academy</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4E5" w:rsidRPr="00200070" w:rsidRDefault="0076494B" w:rsidP="00A92922">
            <w:pPr>
              <w:jc w:val="center"/>
              <w:rPr>
                <w:rFonts w:ascii="Arial" w:hAnsi="Arial" w:cs="Arial"/>
                <w:color w:val="000000"/>
              </w:rPr>
            </w:pPr>
            <w:r w:rsidRPr="00200070">
              <w:rPr>
                <w:rFonts w:ascii="Arial" w:hAnsi="Arial" w:cs="Arial"/>
                <w:color w:val="000000"/>
              </w:rPr>
              <w:t>31</w:t>
            </w:r>
          </w:p>
        </w:tc>
        <w:tc>
          <w:tcPr>
            <w:tcW w:w="1603" w:type="dxa"/>
            <w:tcBorders>
              <w:top w:val="nil"/>
              <w:left w:val="nil"/>
              <w:bottom w:val="single" w:sz="4" w:space="0" w:color="auto"/>
              <w:right w:val="single" w:sz="4" w:space="0" w:color="auto"/>
            </w:tcBorders>
            <w:shd w:val="clear" w:color="auto" w:fill="auto"/>
            <w:noWrap/>
            <w:vAlign w:val="center"/>
            <w:hideMark/>
          </w:tcPr>
          <w:p w:rsidR="000024E5" w:rsidRPr="00200070" w:rsidRDefault="0076494B" w:rsidP="00A92922">
            <w:pPr>
              <w:jc w:val="center"/>
              <w:rPr>
                <w:rFonts w:ascii="Arial" w:hAnsi="Arial" w:cs="Arial"/>
                <w:color w:val="000000"/>
              </w:rPr>
            </w:pPr>
            <w:r w:rsidRPr="00200070">
              <w:rPr>
                <w:rFonts w:ascii="Arial" w:hAnsi="Arial" w:cs="Arial"/>
                <w:color w:val="000000"/>
              </w:rPr>
              <w:t>19</w:t>
            </w:r>
          </w:p>
        </w:tc>
        <w:tc>
          <w:tcPr>
            <w:tcW w:w="1580" w:type="dxa"/>
            <w:tcBorders>
              <w:top w:val="nil"/>
              <w:left w:val="nil"/>
              <w:bottom w:val="single" w:sz="4" w:space="0" w:color="auto"/>
              <w:right w:val="single" w:sz="4" w:space="0" w:color="auto"/>
            </w:tcBorders>
            <w:shd w:val="clear" w:color="auto" w:fill="auto"/>
            <w:noWrap/>
            <w:vAlign w:val="center"/>
            <w:hideMark/>
          </w:tcPr>
          <w:p w:rsidR="000024E5" w:rsidRPr="00200070" w:rsidRDefault="0076494B" w:rsidP="00A92922">
            <w:pPr>
              <w:jc w:val="center"/>
              <w:rPr>
                <w:rFonts w:ascii="Arial" w:hAnsi="Arial" w:cs="Arial"/>
                <w:color w:val="000000"/>
              </w:rPr>
            </w:pPr>
            <w:r w:rsidRPr="00200070">
              <w:rPr>
                <w:rFonts w:ascii="Arial" w:hAnsi="Arial" w:cs="Arial"/>
                <w:color w:val="000000"/>
              </w:rPr>
              <w:t>8</w:t>
            </w:r>
          </w:p>
        </w:tc>
        <w:tc>
          <w:tcPr>
            <w:tcW w:w="1500" w:type="dxa"/>
            <w:tcBorders>
              <w:top w:val="nil"/>
              <w:left w:val="nil"/>
              <w:bottom w:val="single" w:sz="4" w:space="0" w:color="auto"/>
              <w:right w:val="single" w:sz="8" w:space="0" w:color="auto"/>
            </w:tcBorders>
            <w:shd w:val="clear" w:color="auto" w:fill="auto"/>
            <w:noWrap/>
            <w:vAlign w:val="center"/>
            <w:hideMark/>
          </w:tcPr>
          <w:p w:rsidR="000024E5" w:rsidRPr="00200070" w:rsidRDefault="0076494B" w:rsidP="00A92922">
            <w:pPr>
              <w:jc w:val="center"/>
              <w:rPr>
                <w:rFonts w:ascii="Arial" w:hAnsi="Arial" w:cs="Arial"/>
                <w:color w:val="000000"/>
              </w:rPr>
            </w:pPr>
            <w:r w:rsidRPr="00200070">
              <w:rPr>
                <w:rFonts w:ascii="Arial" w:hAnsi="Arial" w:cs="Arial"/>
                <w:color w:val="000000"/>
              </w:rPr>
              <w:t>4</w:t>
            </w:r>
          </w:p>
        </w:tc>
      </w:tr>
      <w:tr w:rsidR="00FF1399" w:rsidTr="00A92922">
        <w:trPr>
          <w:trHeight w:val="315"/>
        </w:trPr>
        <w:tc>
          <w:tcPr>
            <w:tcW w:w="3720" w:type="dxa"/>
            <w:tcBorders>
              <w:top w:val="nil"/>
              <w:left w:val="single" w:sz="8" w:space="0" w:color="auto"/>
              <w:bottom w:val="nil"/>
              <w:right w:val="nil"/>
            </w:tcBorders>
            <w:shd w:val="clear" w:color="auto" w:fill="auto"/>
            <w:vAlign w:val="center"/>
            <w:hideMark/>
          </w:tcPr>
          <w:p w:rsidR="000024E5" w:rsidRPr="00200070" w:rsidRDefault="0076494B" w:rsidP="00A92922">
            <w:pPr>
              <w:jc w:val="right"/>
              <w:rPr>
                <w:rFonts w:ascii="Arial" w:hAnsi="Arial" w:cs="Arial"/>
                <w:b/>
                <w:bCs/>
                <w:color w:val="000000"/>
              </w:rPr>
            </w:pPr>
            <w:r w:rsidRPr="00200070">
              <w:rPr>
                <w:rFonts w:ascii="Arial" w:hAnsi="Arial" w:cs="Arial"/>
                <w:b/>
                <w:bCs/>
                <w:color w:val="000000"/>
              </w:rPr>
              <w:t> </w:t>
            </w:r>
          </w:p>
        </w:tc>
        <w:tc>
          <w:tcPr>
            <w:tcW w:w="1497" w:type="dxa"/>
            <w:tcBorders>
              <w:top w:val="nil"/>
              <w:left w:val="nil"/>
              <w:bottom w:val="nil"/>
              <w:right w:val="nil"/>
            </w:tcBorders>
            <w:shd w:val="clear" w:color="auto" w:fill="auto"/>
            <w:vAlign w:val="center"/>
            <w:hideMark/>
          </w:tcPr>
          <w:p w:rsidR="000024E5" w:rsidRPr="00200070" w:rsidRDefault="0076494B" w:rsidP="00A92922">
            <w:pPr>
              <w:jc w:val="right"/>
              <w:rPr>
                <w:rFonts w:ascii="Arial" w:hAnsi="Arial" w:cs="Arial"/>
                <w:b/>
                <w:bCs/>
                <w:color w:val="000000"/>
              </w:rPr>
            </w:pPr>
          </w:p>
        </w:tc>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0024E5" w:rsidRPr="00200070" w:rsidRDefault="0076494B" w:rsidP="00A92922">
            <w:pPr>
              <w:jc w:val="center"/>
              <w:rPr>
                <w:rFonts w:ascii="Arial" w:hAnsi="Arial" w:cs="Arial"/>
                <w:b/>
                <w:bCs/>
                <w:color w:val="000000"/>
              </w:rPr>
            </w:pPr>
            <w:r w:rsidRPr="00200070">
              <w:rPr>
                <w:rFonts w:ascii="Arial" w:hAnsi="Arial" w:cs="Arial"/>
                <w:b/>
                <w:bCs/>
                <w:color w:val="000000"/>
              </w:rPr>
              <w:t>61%</w:t>
            </w:r>
          </w:p>
        </w:tc>
        <w:tc>
          <w:tcPr>
            <w:tcW w:w="1580" w:type="dxa"/>
            <w:tcBorders>
              <w:top w:val="nil"/>
              <w:left w:val="nil"/>
              <w:bottom w:val="single" w:sz="4" w:space="0" w:color="auto"/>
              <w:right w:val="single" w:sz="4" w:space="0" w:color="auto"/>
            </w:tcBorders>
            <w:shd w:val="clear" w:color="auto" w:fill="auto"/>
            <w:noWrap/>
            <w:vAlign w:val="center"/>
            <w:hideMark/>
          </w:tcPr>
          <w:p w:rsidR="000024E5" w:rsidRPr="00200070" w:rsidRDefault="0076494B" w:rsidP="00A92922">
            <w:pPr>
              <w:jc w:val="center"/>
              <w:rPr>
                <w:rFonts w:ascii="Arial" w:hAnsi="Arial" w:cs="Arial"/>
                <w:b/>
                <w:bCs/>
                <w:color w:val="000000"/>
              </w:rPr>
            </w:pPr>
            <w:r w:rsidRPr="00200070">
              <w:rPr>
                <w:rFonts w:ascii="Arial" w:hAnsi="Arial" w:cs="Arial"/>
                <w:b/>
                <w:bCs/>
                <w:color w:val="000000"/>
              </w:rPr>
              <w:t>26%</w:t>
            </w:r>
          </w:p>
        </w:tc>
        <w:tc>
          <w:tcPr>
            <w:tcW w:w="1500" w:type="dxa"/>
            <w:tcBorders>
              <w:top w:val="nil"/>
              <w:left w:val="nil"/>
              <w:bottom w:val="single" w:sz="4" w:space="0" w:color="auto"/>
              <w:right w:val="single" w:sz="8" w:space="0" w:color="auto"/>
            </w:tcBorders>
            <w:shd w:val="clear" w:color="auto" w:fill="auto"/>
            <w:noWrap/>
            <w:vAlign w:val="center"/>
            <w:hideMark/>
          </w:tcPr>
          <w:p w:rsidR="000024E5" w:rsidRPr="00200070" w:rsidRDefault="0076494B" w:rsidP="00A92922">
            <w:pPr>
              <w:jc w:val="center"/>
              <w:rPr>
                <w:rFonts w:ascii="Arial" w:hAnsi="Arial" w:cs="Arial"/>
                <w:b/>
                <w:bCs/>
                <w:color w:val="000000"/>
              </w:rPr>
            </w:pPr>
            <w:r w:rsidRPr="00200070">
              <w:rPr>
                <w:rFonts w:ascii="Arial" w:hAnsi="Arial" w:cs="Arial"/>
                <w:b/>
                <w:bCs/>
                <w:color w:val="000000"/>
              </w:rPr>
              <w:t>13%</w:t>
            </w:r>
          </w:p>
        </w:tc>
      </w:tr>
      <w:tr w:rsidR="00FF1399" w:rsidTr="00A92922">
        <w:trPr>
          <w:trHeight w:val="240"/>
        </w:trPr>
        <w:tc>
          <w:tcPr>
            <w:tcW w:w="3720" w:type="dxa"/>
            <w:tcBorders>
              <w:top w:val="nil"/>
              <w:left w:val="single" w:sz="8" w:space="0" w:color="auto"/>
              <w:bottom w:val="nil"/>
              <w:right w:val="nil"/>
            </w:tcBorders>
            <w:shd w:val="clear" w:color="auto" w:fill="auto"/>
            <w:vAlign w:val="center"/>
            <w:hideMark/>
          </w:tcPr>
          <w:p w:rsidR="000024E5" w:rsidRPr="00200070" w:rsidRDefault="0076494B" w:rsidP="00A92922">
            <w:pPr>
              <w:rPr>
                <w:rFonts w:ascii="Arial" w:hAnsi="Arial" w:cs="Arial"/>
                <w:color w:val="000000"/>
                <w:sz w:val="20"/>
                <w:szCs w:val="20"/>
              </w:rPr>
            </w:pPr>
            <w:r w:rsidRPr="00200070">
              <w:rPr>
                <w:rFonts w:ascii="Arial" w:hAnsi="Arial" w:cs="Arial"/>
                <w:color w:val="000000"/>
                <w:sz w:val="20"/>
                <w:szCs w:val="20"/>
              </w:rPr>
              <w:t> </w:t>
            </w:r>
          </w:p>
        </w:tc>
        <w:tc>
          <w:tcPr>
            <w:tcW w:w="1497" w:type="dxa"/>
            <w:tcBorders>
              <w:top w:val="nil"/>
              <w:left w:val="nil"/>
              <w:bottom w:val="nil"/>
              <w:right w:val="nil"/>
            </w:tcBorders>
            <w:shd w:val="clear" w:color="auto" w:fill="auto"/>
            <w:vAlign w:val="center"/>
            <w:hideMark/>
          </w:tcPr>
          <w:p w:rsidR="000024E5" w:rsidRPr="00200070" w:rsidRDefault="0076494B" w:rsidP="00A92922">
            <w:pPr>
              <w:rPr>
                <w:rFonts w:ascii="Arial" w:hAnsi="Arial" w:cs="Arial"/>
                <w:color w:val="000000"/>
                <w:sz w:val="20"/>
                <w:szCs w:val="20"/>
              </w:rPr>
            </w:pPr>
          </w:p>
        </w:tc>
        <w:tc>
          <w:tcPr>
            <w:tcW w:w="1603" w:type="dxa"/>
            <w:tcBorders>
              <w:top w:val="nil"/>
              <w:left w:val="nil"/>
              <w:bottom w:val="nil"/>
              <w:right w:val="nil"/>
            </w:tcBorders>
            <w:shd w:val="clear" w:color="auto" w:fill="auto"/>
            <w:noWrap/>
            <w:vAlign w:val="center"/>
            <w:hideMark/>
          </w:tcPr>
          <w:p w:rsidR="000024E5" w:rsidRPr="00200070" w:rsidRDefault="0076494B" w:rsidP="00A92922">
            <w:pPr>
              <w:jc w:val="center"/>
              <w:rPr>
                <w:sz w:val="20"/>
                <w:szCs w:val="20"/>
              </w:rPr>
            </w:pPr>
          </w:p>
        </w:tc>
        <w:tc>
          <w:tcPr>
            <w:tcW w:w="1580" w:type="dxa"/>
            <w:tcBorders>
              <w:top w:val="nil"/>
              <w:left w:val="nil"/>
              <w:bottom w:val="nil"/>
              <w:right w:val="nil"/>
            </w:tcBorders>
            <w:shd w:val="clear" w:color="auto" w:fill="auto"/>
            <w:noWrap/>
            <w:vAlign w:val="center"/>
            <w:hideMark/>
          </w:tcPr>
          <w:p w:rsidR="000024E5" w:rsidRPr="00200070" w:rsidRDefault="0076494B" w:rsidP="00A92922">
            <w:pPr>
              <w:jc w:val="center"/>
              <w:rPr>
                <w:sz w:val="20"/>
                <w:szCs w:val="20"/>
              </w:rPr>
            </w:pPr>
          </w:p>
        </w:tc>
        <w:tc>
          <w:tcPr>
            <w:tcW w:w="1500" w:type="dxa"/>
            <w:tcBorders>
              <w:top w:val="nil"/>
              <w:left w:val="nil"/>
              <w:bottom w:val="nil"/>
              <w:right w:val="single" w:sz="8" w:space="0" w:color="auto"/>
            </w:tcBorders>
            <w:shd w:val="clear" w:color="auto" w:fill="auto"/>
            <w:noWrap/>
            <w:vAlign w:val="center"/>
            <w:hideMark/>
          </w:tcPr>
          <w:p w:rsidR="000024E5" w:rsidRPr="00200070" w:rsidRDefault="0076494B" w:rsidP="00A92922">
            <w:pPr>
              <w:jc w:val="center"/>
              <w:rPr>
                <w:rFonts w:ascii="Arial" w:hAnsi="Arial" w:cs="Arial"/>
                <w:color w:val="000000"/>
                <w:sz w:val="20"/>
                <w:szCs w:val="20"/>
              </w:rPr>
            </w:pPr>
            <w:r w:rsidRPr="00200070">
              <w:rPr>
                <w:rFonts w:ascii="Arial" w:hAnsi="Arial" w:cs="Arial"/>
                <w:color w:val="000000"/>
                <w:sz w:val="20"/>
                <w:szCs w:val="20"/>
              </w:rPr>
              <w:t> </w:t>
            </w:r>
          </w:p>
        </w:tc>
      </w:tr>
      <w:tr w:rsidR="00FF1399" w:rsidTr="00A92922">
        <w:trPr>
          <w:trHeight w:val="315"/>
        </w:trPr>
        <w:tc>
          <w:tcPr>
            <w:tcW w:w="3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024E5" w:rsidRPr="00200070" w:rsidRDefault="0076494B" w:rsidP="00A92922">
            <w:pPr>
              <w:jc w:val="right"/>
              <w:rPr>
                <w:rFonts w:ascii="Arial" w:hAnsi="Arial" w:cs="Arial"/>
                <w:b/>
                <w:bCs/>
                <w:color w:val="000000"/>
              </w:rPr>
            </w:pPr>
            <w:r w:rsidRPr="00200070">
              <w:rPr>
                <w:rFonts w:ascii="Arial" w:hAnsi="Arial" w:cs="Arial"/>
                <w:b/>
                <w:bCs/>
                <w:color w:val="000000"/>
              </w:rPr>
              <w:t>All</w:t>
            </w:r>
          </w:p>
        </w:tc>
        <w:tc>
          <w:tcPr>
            <w:tcW w:w="1497" w:type="dxa"/>
            <w:tcBorders>
              <w:top w:val="single" w:sz="4" w:space="0" w:color="auto"/>
              <w:left w:val="nil"/>
              <w:bottom w:val="single" w:sz="4" w:space="0" w:color="auto"/>
              <w:right w:val="single" w:sz="4" w:space="0" w:color="auto"/>
            </w:tcBorders>
            <w:shd w:val="clear" w:color="auto" w:fill="auto"/>
            <w:noWrap/>
            <w:vAlign w:val="center"/>
            <w:hideMark/>
          </w:tcPr>
          <w:p w:rsidR="000024E5" w:rsidRPr="00200070" w:rsidRDefault="0076494B" w:rsidP="00A92922">
            <w:pPr>
              <w:jc w:val="center"/>
              <w:rPr>
                <w:rFonts w:ascii="Arial" w:hAnsi="Arial" w:cs="Arial"/>
                <w:b/>
                <w:bCs/>
                <w:color w:val="000000"/>
              </w:rPr>
            </w:pPr>
            <w:r w:rsidRPr="00200070">
              <w:rPr>
                <w:rFonts w:ascii="Arial" w:hAnsi="Arial" w:cs="Arial"/>
                <w:b/>
                <w:bCs/>
                <w:color w:val="000000"/>
              </w:rPr>
              <w:t>146</w:t>
            </w:r>
          </w:p>
        </w:tc>
        <w:tc>
          <w:tcPr>
            <w:tcW w:w="1603" w:type="dxa"/>
            <w:tcBorders>
              <w:top w:val="single" w:sz="4" w:space="0" w:color="auto"/>
              <w:left w:val="nil"/>
              <w:bottom w:val="single" w:sz="4" w:space="0" w:color="auto"/>
              <w:right w:val="single" w:sz="4" w:space="0" w:color="auto"/>
            </w:tcBorders>
            <w:shd w:val="clear" w:color="auto" w:fill="auto"/>
            <w:noWrap/>
            <w:vAlign w:val="center"/>
            <w:hideMark/>
          </w:tcPr>
          <w:p w:rsidR="000024E5" w:rsidRPr="00200070" w:rsidRDefault="0076494B" w:rsidP="00A92922">
            <w:pPr>
              <w:jc w:val="center"/>
              <w:rPr>
                <w:rFonts w:ascii="Arial" w:hAnsi="Arial" w:cs="Arial"/>
                <w:b/>
                <w:bCs/>
                <w:color w:val="000000"/>
              </w:rPr>
            </w:pPr>
            <w:r w:rsidRPr="00200070">
              <w:rPr>
                <w:rFonts w:ascii="Arial" w:hAnsi="Arial" w:cs="Arial"/>
                <w:b/>
                <w:bCs/>
                <w:color w:val="000000"/>
              </w:rPr>
              <w:t>69</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0024E5" w:rsidRPr="00200070" w:rsidRDefault="0076494B" w:rsidP="00A92922">
            <w:pPr>
              <w:jc w:val="center"/>
              <w:rPr>
                <w:rFonts w:ascii="Arial" w:hAnsi="Arial" w:cs="Arial"/>
                <w:b/>
                <w:bCs/>
                <w:color w:val="000000"/>
              </w:rPr>
            </w:pPr>
            <w:r w:rsidRPr="00200070">
              <w:rPr>
                <w:rFonts w:ascii="Arial" w:hAnsi="Arial" w:cs="Arial"/>
                <w:b/>
                <w:bCs/>
                <w:color w:val="000000"/>
              </w:rPr>
              <w:t>39</w:t>
            </w:r>
          </w:p>
        </w:tc>
        <w:tc>
          <w:tcPr>
            <w:tcW w:w="1500" w:type="dxa"/>
            <w:tcBorders>
              <w:top w:val="single" w:sz="4" w:space="0" w:color="auto"/>
              <w:left w:val="nil"/>
              <w:bottom w:val="single" w:sz="4" w:space="0" w:color="auto"/>
              <w:right w:val="single" w:sz="8" w:space="0" w:color="auto"/>
            </w:tcBorders>
            <w:shd w:val="clear" w:color="auto" w:fill="auto"/>
            <w:noWrap/>
            <w:vAlign w:val="center"/>
            <w:hideMark/>
          </w:tcPr>
          <w:p w:rsidR="000024E5" w:rsidRPr="00200070" w:rsidRDefault="0076494B" w:rsidP="00A92922">
            <w:pPr>
              <w:jc w:val="center"/>
              <w:rPr>
                <w:rFonts w:ascii="Arial" w:hAnsi="Arial" w:cs="Arial"/>
                <w:b/>
                <w:bCs/>
                <w:color w:val="000000"/>
              </w:rPr>
            </w:pPr>
            <w:r w:rsidRPr="00200070">
              <w:rPr>
                <w:rFonts w:ascii="Arial" w:hAnsi="Arial" w:cs="Arial"/>
                <w:b/>
                <w:bCs/>
                <w:color w:val="000000"/>
              </w:rPr>
              <w:t>38</w:t>
            </w:r>
          </w:p>
        </w:tc>
      </w:tr>
      <w:tr w:rsidR="00FF1399" w:rsidTr="00A92922">
        <w:trPr>
          <w:trHeight w:val="330"/>
        </w:trPr>
        <w:tc>
          <w:tcPr>
            <w:tcW w:w="3720" w:type="dxa"/>
            <w:tcBorders>
              <w:top w:val="nil"/>
              <w:left w:val="single" w:sz="8" w:space="0" w:color="auto"/>
              <w:bottom w:val="single" w:sz="8" w:space="0" w:color="auto"/>
              <w:right w:val="nil"/>
            </w:tcBorders>
            <w:shd w:val="clear" w:color="auto" w:fill="auto"/>
            <w:noWrap/>
            <w:vAlign w:val="center"/>
            <w:hideMark/>
          </w:tcPr>
          <w:p w:rsidR="000024E5" w:rsidRPr="00200070" w:rsidRDefault="0076494B" w:rsidP="00A92922">
            <w:pPr>
              <w:rPr>
                <w:rFonts w:ascii="Arial" w:hAnsi="Arial" w:cs="Arial"/>
                <w:b/>
                <w:bCs/>
                <w:color w:val="000000"/>
                <w:sz w:val="20"/>
                <w:szCs w:val="20"/>
              </w:rPr>
            </w:pPr>
            <w:r w:rsidRPr="00200070">
              <w:rPr>
                <w:rFonts w:ascii="Arial" w:hAnsi="Arial" w:cs="Arial"/>
                <w:b/>
                <w:bCs/>
                <w:color w:val="000000"/>
                <w:sz w:val="20"/>
                <w:szCs w:val="20"/>
              </w:rPr>
              <w:t> </w:t>
            </w:r>
          </w:p>
        </w:tc>
        <w:tc>
          <w:tcPr>
            <w:tcW w:w="1497" w:type="dxa"/>
            <w:tcBorders>
              <w:top w:val="nil"/>
              <w:left w:val="nil"/>
              <w:bottom w:val="single" w:sz="8" w:space="0" w:color="auto"/>
              <w:right w:val="nil"/>
            </w:tcBorders>
            <w:shd w:val="clear" w:color="auto" w:fill="auto"/>
            <w:noWrap/>
            <w:vAlign w:val="center"/>
            <w:hideMark/>
          </w:tcPr>
          <w:p w:rsidR="000024E5" w:rsidRPr="00200070" w:rsidRDefault="0076494B" w:rsidP="00A92922">
            <w:pPr>
              <w:jc w:val="center"/>
              <w:rPr>
                <w:rFonts w:ascii="Arial" w:hAnsi="Arial" w:cs="Arial"/>
                <w:b/>
                <w:bCs/>
                <w:i/>
                <w:iCs/>
                <w:color w:val="000000"/>
                <w:sz w:val="20"/>
                <w:szCs w:val="20"/>
              </w:rPr>
            </w:pPr>
            <w:r w:rsidRPr="00200070">
              <w:rPr>
                <w:rFonts w:ascii="Arial" w:hAnsi="Arial" w:cs="Arial"/>
                <w:b/>
                <w:bCs/>
                <w:i/>
                <w:iCs/>
                <w:color w:val="000000"/>
                <w:sz w:val="20"/>
                <w:szCs w:val="20"/>
              </w:rPr>
              <w:t> </w:t>
            </w:r>
          </w:p>
        </w:tc>
        <w:tc>
          <w:tcPr>
            <w:tcW w:w="1603" w:type="dxa"/>
            <w:tcBorders>
              <w:top w:val="nil"/>
              <w:left w:val="single" w:sz="4" w:space="0" w:color="auto"/>
              <w:bottom w:val="single" w:sz="8" w:space="0" w:color="auto"/>
              <w:right w:val="single" w:sz="4" w:space="0" w:color="auto"/>
            </w:tcBorders>
            <w:shd w:val="clear" w:color="auto" w:fill="auto"/>
            <w:noWrap/>
            <w:vAlign w:val="center"/>
            <w:hideMark/>
          </w:tcPr>
          <w:p w:rsidR="000024E5" w:rsidRPr="00200070" w:rsidRDefault="0076494B" w:rsidP="00A92922">
            <w:pPr>
              <w:jc w:val="center"/>
              <w:rPr>
                <w:rFonts w:ascii="Arial" w:hAnsi="Arial" w:cs="Arial"/>
                <w:b/>
                <w:bCs/>
                <w:color w:val="000000"/>
              </w:rPr>
            </w:pPr>
            <w:r w:rsidRPr="00200070">
              <w:rPr>
                <w:rFonts w:ascii="Arial" w:hAnsi="Arial" w:cs="Arial"/>
                <w:b/>
                <w:bCs/>
                <w:color w:val="000000"/>
              </w:rPr>
              <w:t>47%</w:t>
            </w:r>
          </w:p>
        </w:tc>
        <w:tc>
          <w:tcPr>
            <w:tcW w:w="1580" w:type="dxa"/>
            <w:tcBorders>
              <w:top w:val="nil"/>
              <w:left w:val="nil"/>
              <w:bottom w:val="single" w:sz="8" w:space="0" w:color="auto"/>
              <w:right w:val="single" w:sz="4" w:space="0" w:color="auto"/>
            </w:tcBorders>
            <w:shd w:val="clear" w:color="auto" w:fill="auto"/>
            <w:noWrap/>
            <w:vAlign w:val="center"/>
            <w:hideMark/>
          </w:tcPr>
          <w:p w:rsidR="000024E5" w:rsidRPr="00200070" w:rsidRDefault="0076494B" w:rsidP="00A92922">
            <w:pPr>
              <w:jc w:val="center"/>
              <w:rPr>
                <w:rFonts w:ascii="Arial" w:hAnsi="Arial" w:cs="Arial"/>
                <w:b/>
                <w:bCs/>
                <w:color w:val="000000"/>
              </w:rPr>
            </w:pPr>
            <w:r w:rsidRPr="00200070">
              <w:rPr>
                <w:rFonts w:ascii="Arial" w:hAnsi="Arial" w:cs="Arial"/>
                <w:b/>
                <w:bCs/>
                <w:color w:val="000000"/>
              </w:rPr>
              <w:t>27%</w:t>
            </w:r>
          </w:p>
        </w:tc>
        <w:tc>
          <w:tcPr>
            <w:tcW w:w="1500" w:type="dxa"/>
            <w:tcBorders>
              <w:top w:val="nil"/>
              <w:left w:val="nil"/>
              <w:bottom w:val="single" w:sz="8" w:space="0" w:color="auto"/>
              <w:right w:val="single" w:sz="8" w:space="0" w:color="auto"/>
            </w:tcBorders>
            <w:shd w:val="clear" w:color="auto" w:fill="auto"/>
            <w:noWrap/>
            <w:vAlign w:val="center"/>
            <w:hideMark/>
          </w:tcPr>
          <w:p w:rsidR="000024E5" w:rsidRPr="00200070" w:rsidRDefault="0076494B" w:rsidP="00A92922">
            <w:pPr>
              <w:jc w:val="center"/>
              <w:rPr>
                <w:rFonts w:ascii="Arial" w:hAnsi="Arial" w:cs="Arial"/>
                <w:b/>
                <w:bCs/>
                <w:color w:val="000000"/>
              </w:rPr>
            </w:pPr>
            <w:r w:rsidRPr="00200070">
              <w:rPr>
                <w:rFonts w:ascii="Arial" w:hAnsi="Arial" w:cs="Arial"/>
                <w:b/>
                <w:bCs/>
                <w:color w:val="000000"/>
              </w:rPr>
              <w:t>26%</w:t>
            </w:r>
          </w:p>
        </w:tc>
      </w:tr>
    </w:tbl>
    <w:p w:rsidR="000024E5" w:rsidRDefault="0076494B" w:rsidP="000024E5">
      <w:pPr>
        <w:jc w:val="both"/>
        <w:rPr>
          <w:rFonts w:ascii="Arial" w:hAnsi="Arial" w:cs="Arial"/>
          <w:b/>
        </w:rPr>
      </w:pPr>
    </w:p>
    <w:p w:rsidR="000024E5" w:rsidRDefault="0076494B" w:rsidP="000024E5">
      <w:pPr>
        <w:jc w:val="both"/>
        <w:rPr>
          <w:rFonts w:ascii="Arial" w:hAnsi="Arial" w:cs="Arial"/>
          <w:b/>
        </w:rPr>
      </w:pPr>
      <w:r>
        <w:rPr>
          <w:rFonts w:ascii="Arial" w:hAnsi="Arial" w:cs="Arial"/>
          <w:b/>
        </w:rPr>
        <w:t>Question 2 Comments (Favouring Option 1)</w:t>
      </w:r>
    </w:p>
    <w:p w:rsidR="000024E5" w:rsidRDefault="0076494B" w:rsidP="000024E5">
      <w:pPr>
        <w:jc w:val="both"/>
        <w:rPr>
          <w:rFonts w:ascii="Arial" w:hAnsi="Arial" w:cs="Arial"/>
          <w:b/>
        </w:rPr>
      </w:pPr>
    </w:p>
    <w:tbl>
      <w:tblPr>
        <w:tblW w:w="5093" w:type="pct"/>
        <w:tblLook w:val="04A0" w:firstRow="1" w:lastRow="0" w:firstColumn="1" w:lastColumn="0" w:noHBand="0" w:noVBand="1"/>
      </w:tblPr>
      <w:tblGrid>
        <w:gridCol w:w="9917"/>
      </w:tblGrid>
      <w:tr w:rsidR="00FF1399" w:rsidTr="00A92922">
        <w:trPr>
          <w:trHeight w:val="765"/>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24E5" w:rsidRPr="00032E92" w:rsidRDefault="0076494B" w:rsidP="00A92922">
            <w:pPr>
              <w:rPr>
                <w:rFonts w:ascii="Arial" w:hAnsi="Arial" w:cs="Arial"/>
                <w:color w:val="000000"/>
                <w:sz w:val="22"/>
                <w:szCs w:val="20"/>
              </w:rPr>
            </w:pPr>
            <w:r w:rsidRPr="00032E92">
              <w:rPr>
                <w:rFonts w:ascii="Arial" w:hAnsi="Arial" w:cs="Arial"/>
                <w:color w:val="000000"/>
                <w:sz w:val="22"/>
                <w:szCs w:val="20"/>
              </w:rPr>
              <w:t>I feel it is most important that the formula is applied as per the illustrative NFF allocations. The decision on which model is used should not be based on the financial outcomes of individual schools, it should b</w:t>
            </w:r>
            <w:r w:rsidRPr="00032E92">
              <w:rPr>
                <w:rFonts w:ascii="Arial" w:hAnsi="Arial" w:cs="Arial"/>
                <w:color w:val="000000"/>
                <w:sz w:val="22"/>
                <w:szCs w:val="20"/>
              </w:rPr>
              <w:t xml:space="preserve">e moving to what is an equitable formula nationally. The addition of the £1.3billion to budgets over the 2 years will cushion some of the impact of turbulence. </w:t>
            </w:r>
          </w:p>
        </w:tc>
      </w:tr>
      <w:tr w:rsidR="00FF1399" w:rsidTr="00A92922">
        <w:trPr>
          <w:trHeight w:val="51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0024E5" w:rsidRPr="00032E92" w:rsidRDefault="0076494B" w:rsidP="00A92922">
            <w:pPr>
              <w:rPr>
                <w:rFonts w:ascii="Arial" w:hAnsi="Arial" w:cs="Arial"/>
                <w:color w:val="000000"/>
                <w:sz w:val="22"/>
                <w:szCs w:val="20"/>
              </w:rPr>
            </w:pPr>
            <w:r w:rsidRPr="00032E92">
              <w:rPr>
                <w:rFonts w:ascii="Arial" w:hAnsi="Arial" w:cs="Arial"/>
                <w:color w:val="000000"/>
                <w:sz w:val="22"/>
                <w:szCs w:val="20"/>
              </w:rPr>
              <w:t>As long as the processes are permitted by the ESFA</w:t>
            </w:r>
            <w:r w:rsidRPr="00032E92">
              <w:rPr>
                <w:rFonts w:ascii="Arial" w:hAnsi="Arial" w:cs="Arial"/>
                <w:color w:val="000000"/>
                <w:sz w:val="22"/>
                <w:szCs w:val="20"/>
              </w:rPr>
              <w:t xml:space="preserve">, I believe that Lancashire should move as far as is reasonable towards implementation of the NFF to enable future decisions (2020 onward) to be better facilitated with reduced turbulence. </w:t>
            </w:r>
          </w:p>
        </w:tc>
      </w:tr>
      <w:tr w:rsidR="00FF1399" w:rsidTr="00A92922">
        <w:trPr>
          <w:trHeight w:val="51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0024E5" w:rsidRPr="00032E92" w:rsidRDefault="0076494B" w:rsidP="00A92922">
            <w:pPr>
              <w:rPr>
                <w:rFonts w:ascii="Arial" w:hAnsi="Arial" w:cs="Arial"/>
                <w:color w:val="000000"/>
                <w:sz w:val="22"/>
                <w:szCs w:val="20"/>
              </w:rPr>
            </w:pPr>
            <w:r w:rsidRPr="00032E92">
              <w:rPr>
                <w:rFonts w:ascii="Arial" w:hAnsi="Arial" w:cs="Arial"/>
                <w:color w:val="000000"/>
                <w:sz w:val="22"/>
                <w:szCs w:val="20"/>
              </w:rPr>
              <w:t>It seems sensible to make the changes now while there is a degree</w:t>
            </w:r>
            <w:r w:rsidRPr="00032E92">
              <w:rPr>
                <w:rFonts w:ascii="Arial" w:hAnsi="Arial" w:cs="Arial"/>
                <w:color w:val="000000"/>
                <w:sz w:val="22"/>
                <w:szCs w:val="20"/>
              </w:rPr>
              <w:t xml:space="preserve"> of stability for school budgets. </w:t>
            </w:r>
          </w:p>
        </w:tc>
      </w:tr>
      <w:tr w:rsidR="00FF1399" w:rsidTr="00A92922">
        <w:trPr>
          <w:trHeight w:val="51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0024E5" w:rsidRPr="00032E92" w:rsidRDefault="0076494B" w:rsidP="00A92922">
            <w:pPr>
              <w:rPr>
                <w:rFonts w:ascii="Arial" w:hAnsi="Arial" w:cs="Arial"/>
                <w:color w:val="000000"/>
                <w:sz w:val="22"/>
                <w:szCs w:val="20"/>
              </w:rPr>
            </w:pPr>
            <w:r w:rsidRPr="00032E92">
              <w:rPr>
                <w:rFonts w:ascii="Arial" w:hAnsi="Arial" w:cs="Arial"/>
                <w:color w:val="000000"/>
                <w:sz w:val="22"/>
                <w:szCs w:val="20"/>
              </w:rPr>
              <w:t>I favour this option on the assumption that Lancashire's requests to the DfE to 'disapply' certain regulations will be approved and that the modelling provided with this consultation remains reflective of actual funding</w:t>
            </w:r>
          </w:p>
        </w:tc>
      </w:tr>
      <w:tr w:rsidR="00FF1399" w:rsidTr="00A92922">
        <w:trPr>
          <w:trHeight w:val="255"/>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0024E5" w:rsidRPr="00032E92" w:rsidRDefault="0076494B" w:rsidP="00A92922">
            <w:pPr>
              <w:rPr>
                <w:rFonts w:ascii="Arial" w:hAnsi="Arial" w:cs="Arial"/>
                <w:color w:val="000000"/>
                <w:sz w:val="22"/>
                <w:szCs w:val="20"/>
              </w:rPr>
            </w:pPr>
            <w:r w:rsidRPr="00032E92">
              <w:rPr>
                <w:rFonts w:ascii="Arial" w:hAnsi="Arial" w:cs="Arial"/>
                <w:color w:val="000000"/>
                <w:sz w:val="22"/>
                <w:szCs w:val="20"/>
              </w:rPr>
              <w:t>Thank you for the comprehensive information. This option positively affects the most schools</w:t>
            </w:r>
          </w:p>
        </w:tc>
      </w:tr>
      <w:tr w:rsidR="00FF1399" w:rsidTr="00A92922">
        <w:trPr>
          <w:trHeight w:val="255"/>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0024E5" w:rsidRPr="00032E92" w:rsidRDefault="0076494B" w:rsidP="00A92922">
            <w:pPr>
              <w:rPr>
                <w:rFonts w:ascii="Arial" w:hAnsi="Arial" w:cs="Arial"/>
                <w:color w:val="000000"/>
                <w:sz w:val="22"/>
                <w:szCs w:val="20"/>
              </w:rPr>
            </w:pPr>
            <w:r w:rsidRPr="00032E92">
              <w:rPr>
                <w:rFonts w:ascii="Arial" w:hAnsi="Arial" w:cs="Arial"/>
                <w:color w:val="000000"/>
                <w:sz w:val="22"/>
                <w:szCs w:val="20"/>
              </w:rPr>
              <w:t>Passporting seems inevitable and moving sooner rather than later should cushion the impact as much as possible</w:t>
            </w:r>
          </w:p>
        </w:tc>
      </w:tr>
      <w:tr w:rsidR="00FF1399" w:rsidTr="00A92922">
        <w:trPr>
          <w:trHeight w:val="51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0024E5" w:rsidRPr="00032E92" w:rsidRDefault="0076494B" w:rsidP="00A92922">
            <w:pPr>
              <w:rPr>
                <w:rFonts w:ascii="Arial" w:hAnsi="Arial" w:cs="Arial"/>
                <w:color w:val="000000"/>
                <w:sz w:val="22"/>
                <w:szCs w:val="20"/>
              </w:rPr>
            </w:pPr>
            <w:r w:rsidRPr="00032E92">
              <w:rPr>
                <w:rFonts w:ascii="Arial" w:hAnsi="Arial" w:cs="Arial"/>
                <w:color w:val="000000"/>
                <w:sz w:val="22"/>
                <w:szCs w:val="20"/>
              </w:rPr>
              <w:t xml:space="preserve">It makes little difference to my school and if </w:t>
            </w:r>
            <w:r w:rsidRPr="00032E92">
              <w:rPr>
                <w:rFonts w:ascii="Arial" w:hAnsi="Arial" w:cs="Arial"/>
                <w:color w:val="000000"/>
                <w:sz w:val="22"/>
                <w:szCs w:val="20"/>
              </w:rPr>
              <w:t>the new formula is inevitable it seems sensible to move on and focus attention on to the other many pressures.</w:t>
            </w:r>
          </w:p>
        </w:tc>
      </w:tr>
      <w:tr w:rsidR="00FF1399" w:rsidTr="00A92922">
        <w:trPr>
          <w:trHeight w:val="51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0024E5" w:rsidRPr="00032E92" w:rsidRDefault="0076494B" w:rsidP="00A92922">
            <w:pPr>
              <w:rPr>
                <w:rFonts w:ascii="Arial" w:hAnsi="Arial" w:cs="Arial"/>
                <w:color w:val="000000"/>
                <w:sz w:val="22"/>
                <w:szCs w:val="20"/>
              </w:rPr>
            </w:pPr>
            <w:r w:rsidRPr="00032E92">
              <w:rPr>
                <w:rFonts w:ascii="Arial" w:hAnsi="Arial" w:cs="Arial"/>
                <w:color w:val="000000"/>
                <w:sz w:val="22"/>
                <w:szCs w:val="20"/>
              </w:rPr>
              <w:t>If the funding is going to change anyway it would seem better to do it now so people know exactly what they have in the future.  Better to get o</w:t>
            </w:r>
            <w:r w:rsidRPr="00032E92">
              <w:rPr>
                <w:rFonts w:ascii="Arial" w:hAnsi="Arial" w:cs="Arial"/>
                <w:color w:val="000000"/>
                <w:sz w:val="22"/>
                <w:szCs w:val="20"/>
              </w:rPr>
              <w:t>n with it.</w:t>
            </w:r>
          </w:p>
        </w:tc>
      </w:tr>
      <w:tr w:rsidR="00FF1399" w:rsidTr="00A92922">
        <w:trPr>
          <w:trHeight w:val="51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0024E5" w:rsidRPr="00032E92" w:rsidRDefault="0076494B" w:rsidP="00A92922">
            <w:pPr>
              <w:rPr>
                <w:rFonts w:ascii="Arial" w:hAnsi="Arial" w:cs="Arial"/>
                <w:color w:val="000000"/>
                <w:sz w:val="22"/>
                <w:szCs w:val="20"/>
              </w:rPr>
            </w:pPr>
            <w:r w:rsidRPr="00032E92">
              <w:rPr>
                <w:rFonts w:ascii="Arial" w:hAnsi="Arial" w:cs="Arial"/>
                <w:color w:val="000000"/>
                <w:sz w:val="22"/>
                <w:szCs w:val="20"/>
              </w:rPr>
              <w:t>This is our preferred option as it is as close as possible to the funding the school will receive under the NFF and therefore provides more stability in funding going forward.</w:t>
            </w:r>
          </w:p>
        </w:tc>
      </w:tr>
      <w:tr w:rsidR="00FF1399" w:rsidTr="00A92922">
        <w:trPr>
          <w:trHeight w:val="255"/>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0024E5" w:rsidRPr="00032E92" w:rsidRDefault="0076494B" w:rsidP="00A92922">
            <w:pPr>
              <w:rPr>
                <w:rFonts w:ascii="Arial" w:hAnsi="Arial" w:cs="Arial"/>
                <w:color w:val="000000"/>
                <w:sz w:val="22"/>
                <w:szCs w:val="20"/>
              </w:rPr>
            </w:pPr>
            <w:r w:rsidRPr="00032E92">
              <w:rPr>
                <w:rFonts w:ascii="Arial" w:hAnsi="Arial" w:cs="Arial"/>
                <w:color w:val="000000"/>
                <w:sz w:val="22"/>
                <w:szCs w:val="20"/>
              </w:rPr>
              <w:t>This will provide clarity for forward financial planning</w:t>
            </w:r>
          </w:p>
        </w:tc>
      </w:tr>
      <w:tr w:rsidR="00FF1399" w:rsidTr="00A92922">
        <w:trPr>
          <w:trHeight w:val="765"/>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0024E5" w:rsidRPr="00032E92" w:rsidRDefault="0076494B" w:rsidP="00A92922">
            <w:pPr>
              <w:rPr>
                <w:rFonts w:ascii="Arial" w:hAnsi="Arial" w:cs="Arial"/>
                <w:color w:val="000000"/>
                <w:sz w:val="22"/>
                <w:szCs w:val="20"/>
              </w:rPr>
            </w:pPr>
            <w:r w:rsidRPr="00032E92">
              <w:rPr>
                <w:rFonts w:ascii="Arial" w:hAnsi="Arial" w:cs="Arial"/>
                <w:color w:val="000000"/>
                <w:sz w:val="22"/>
                <w:szCs w:val="20"/>
              </w:rPr>
              <w:t>The quick</w:t>
            </w:r>
            <w:r w:rsidRPr="00032E92">
              <w:rPr>
                <w:rFonts w:ascii="Arial" w:hAnsi="Arial" w:cs="Arial"/>
                <w:color w:val="000000"/>
                <w:sz w:val="22"/>
                <w:szCs w:val="20"/>
              </w:rPr>
              <w:t>er the County moves to the new NFF the better. This will be the fairest option for schools that have suffered under the existing LCC funding model.The Pupil Premium funding recognises schools in areas of deprivation. It does not justify further deprivation</w:t>
            </w:r>
            <w:r w:rsidRPr="00032E92">
              <w:rPr>
                <w:rFonts w:ascii="Arial" w:hAnsi="Arial" w:cs="Arial"/>
                <w:color w:val="000000"/>
                <w:sz w:val="22"/>
                <w:szCs w:val="20"/>
              </w:rPr>
              <w:t xml:space="preserve"> weighting applied by LCC. Children in Lytham St Annes should be funded at the same level as other English schools taking into account the NFF factors.</w:t>
            </w:r>
          </w:p>
        </w:tc>
      </w:tr>
      <w:tr w:rsidR="00FF1399" w:rsidTr="00A92922">
        <w:trPr>
          <w:trHeight w:val="255"/>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0024E5" w:rsidRPr="00032E92" w:rsidRDefault="0076494B" w:rsidP="00A92922">
            <w:pPr>
              <w:rPr>
                <w:rFonts w:ascii="Arial" w:hAnsi="Arial" w:cs="Arial"/>
                <w:color w:val="000000"/>
                <w:sz w:val="22"/>
                <w:szCs w:val="20"/>
              </w:rPr>
            </w:pPr>
            <w:r w:rsidRPr="00032E92">
              <w:rPr>
                <w:rFonts w:ascii="Arial" w:hAnsi="Arial" w:cs="Arial"/>
                <w:color w:val="000000"/>
                <w:sz w:val="22"/>
                <w:szCs w:val="20"/>
              </w:rPr>
              <w:t>As we will all move to the NFF in two years time</w:t>
            </w:r>
            <w:r w:rsidRPr="00032E92">
              <w:rPr>
                <w:rFonts w:ascii="Arial" w:hAnsi="Arial" w:cs="Arial"/>
                <w:color w:val="000000"/>
                <w:sz w:val="22"/>
                <w:szCs w:val="20"/>
              </w:rPr>
              <w:t xml:space="preserve"> this option will help to prevent cliff edges for schools at that stage.</w:t>
            </w:r>
          </w:p>
        </w:tc>
      </w:tr>
      <w:tr w:rsidR="00FF1399" w:rsidTr="00A92922">
        <w:trPr>
          <w:trHeight w:val="255"/>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0024E5" w:rsidRPr="00032E92" w:rsidRDefault="0076494B" w:rsidP="00A92922">
            <w:pPr>
              <w:rPr>
                <w:rFonts w:ascii="Arial" w:hAnsi="Arial" w:cs="Arial"/>
                <w:color w:val="000000"/>
                <w:sz w:val="22"/>
                <w:szCs w:val="20"/>
              </w:rPr>
            </w:pPr>
            <w:r w:rsidRPr="00032E92">
              <w:rPr>
                <w:rFonts w:ascii="Arial" w:hAnsi="Arial" w:cs="Arial"/>
                <w:color w:val="000000"/>
                <w:sz w:val="22"/>
                <w:szCs w:val="20"/>
              </w:rPr>
              <w:t>Who would not vote for the largest amount.......?</w:t>
            </w:r>
          </w:p>
        </w:tc>
      </w:tr>
      <w:tr w:rsidR="00FF1399" w:rsidTr="00A92922">
        <w:trPr>
          <w:trHeight w:val="255"/>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0024E5" w:rsidRPr="00032E92" w:rsidRDefault="0076494B" w:rsidP="00A92922">
            <w:pPr>
              <w:rPr>
                <w:rFonts w:ascii="Arial" w:hAnsi="Arial" w:cs="Arial"/>
                <w:color w:val="000000"/>
                <w:sz w:val="22"/>
                <w:szCs w:val="20"/>
              </w:rPr>
            </w:pPr>
            <w:r w:rsidRPr="00032E92">
              <w:rPr>
                <w:rFonts w:ascii="Arial" w:hAnsi="Arial" w:cs="Arial"/>
                <w:color w:val="000000"/>
                <w:sz w:val="22"/>
                <w:szCs w:val="20"/>
              </w:rPr>
              <w:t>This is the clearest way for us to move forward, it also recognises that we have been low funded and gets us maximum return from ye</w:t>
            </w:r>
            <w:r w:rsidRPr="00032E92">
              <w:rPr>
                <w:rFonts w:ascii="Arial" w:hAnsi="Arial" w:cs="Arial"/>
                <w:color w:val="000000"/>
                <w:sz w:val="22"/>
                <w:szCs w:val="20"/>
              </w:rPr>
              <w:t>ar 1.</w:t>
            </w:r>
          </w:p>
        </w:tc>
      </w:tr>
      <w:tr w:rsidR="00FF1399" w:rsidTr="00A92922">
        <w:trPr>
          <w:trHeight w:val="255"/>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0024E5" w:rsidRPr="00032E92" w:rsidRDefault="0076494B" w:rsidP="00A92922">
            <w:pPr>
              <w:rPr>
                <w:rFonts w:ascii="Arial" w:hAnsi="Arial" w:cs="Arial"/>
                <w:color w:val="000000"/>
                <w:sz w:val="22"/>
                <w:szCs w:val="20"/>
              </w:rPr>
            </w:pPr>
            <w:r w:rsidRPr="00032E92">
              <w:rPr>
                <w:rFonts w:ascii="Arial" w:hAnsi="Arial" w:cs="Arial"/>
                <w:color w:val="000000"/>
                <w:sz w:val="22"/>
                <w:szCs w:val="20"/>
              </w:rPr>
              <w:t>follow national to ensure consistency with schools</w:t>
            </w:r>
          </w:p>
        </w:tc>
      </w:tr>
      <w:tr w:rsidR="00FF1399" w:rsidTr="00A92922">
        <w:trPr>
          <w:trHeight w:val="255"/>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0024E5" w:rsidRPr="00032E92" w:rsidRDefault="0076494B" w:rsidP="00A92922">
            <w:pPr>
              <w:rPr>
                <w:rFonts w:ascii="Arial" w:hAnsi="Arial" w:cs="Arial"/>
                <w:color w:val="000000"/>
                <w:sz w:val="22"/>
                <w:szCs w:val="20"/>
              </w:rPr>
            </w:pPr>
            <w:r w:rsidRPr="00032E92">
              <w:rPr>
                <w:rFonts w:ascii="Arial" w:hAnsi="Arial" w:cs="Arial"/>
                <w:color w:val="000000"/>
                <w:sz w:val="22"/>
                <w:szCs w:val="20"/>
              </w:rPr>
              <w:t>Financially this is by far the best option in the first year for our school.</w:t>
            </w:r>
          </w:p>
        </w:tc>
      </w:tr>
    </w:tbl>
    <w:p w:rsidR="000024E5" w:rsidRDefault="0076494B" w:rsidP="000024E5">
      <w:pPr>
        <w:jc w:val="both"/>
        <w:rPr>
          <w:rFonts w:ascii="Arial" w:hAnsi="Arial" w:cs="Arial"/>
          <w:b/>
        </w:rPr>
      </w:pPr>
    </w:p>
    <w:p w:rsidR="000024E5" w:rsidRDefault="0076494B" w:rsidP="000024E5">
      <w:pPr>
        <w:jc w:val="both"/>
        <w:rPr>
          <w:rFonts w:ascii="Arial" w:hAnsi="Arial" w:cs="Arial"/>
          <w:b/>
        </w:rPr>
      </w:pPr>
      <w:r>
        <w:rPr>
          <w:rFonts w:ascii="Arial" w:hAnsi="Arial" w:cs="Arial"/>
          <w:b/>
        </w:rPr>
        <w:t>Question 2 Comments (Favouring Option 2)</w:t>
      </w:r>
    </w:p>
    <w:p w:rsidR="000024E5" w:rsidRDefault="0076494B" w:rsidP="000024E5">
      <w:pPr>
        <w:jc w:val="both"/>
        <w:rPr>
          <w:rFonts w:ascii="Arial" w:hAnsi="Arial" w:cs="Arial"/>
          <w:b/>
        </w:rPr>
      </w:pPr>
    </w:p>
    <w:tbl>
      <w:tblPr>
        <w:tblW w:w="5000" w:type="pct"/>
        <w:tblLook w:val="04A0" w:firstRow="1" w:lastRow="0" w:firstColumn="1" w:lastColumn="0" w:noHBand="0" w:noVBand="1"/>
      </w:tblPr>
      <w:tblGrid>
        <w:gridCol w:w="9736"/>
      </w:tblGrid>
      <w:tr w:rsidR="00FF1399" w:rsidTr="00A92922">
        <w:trPr>
          <w:trHeight w:val="255"/>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24E5" w:rsidRPr="00AA6309" w:rsidRDefault="0076494B" w:rsidP="00A92922">
            <w:pPr>
              <w:rPr>
                <w:rFonts w:ascii="Arial" w:hAnsi="Arial" w:cs="Arial"/>
                <w:color w:val="000000"/>
                <w:szCs w:val="20"/>
              </w:rPr>
            </w:pPr>
            <w:r w:rsidRPr="00AA6309">
              <w:rPr>
                <w:rFonts w:ascii="Arial" w:hAnsi="Arial" w:cs="Arial"/>
                <w:color w:val="000000"/>
                <w:szCs w:val="20"/>
              </w:rPr>
              <w:t>Better for my school and will allow for spending in the lead up to SNFF that</w:t>
            </w:r>
            <w:r w:rsidRPr="00AA6309">
              <w:rPr>
                <w:rFonts w:ascii="Arial" w:hAnsi="Arial" w:cs="Arial"/>
                <w:color w:val="000000"/>
                <w:szCs w:val="20"/>
              </w:rPr>
              <w:t xml:space="preserve"> may not otherwise be possible.</w:t>
            </w:r>
          </w:p>
        </w:tc>
      </w:tr>
      <w:tr w:rsidR="00FF1399" w:rsidTr="00A92922">
        <w:trPr>
          <w:trHeight w:val="10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0024E5" w:rsidRPr="00AA6309" w:rsidRDefault="0076494B" w:rsidP="00A92922">
            <w:pPr>
              <w:rPr>
                <w:rFonts w:ascii="Arial" w:hAnsi="Arial" w:cs="Arial"/>
                <w:color w:val="000000"/>
                <w:szCs w:val="20"/>
              </w:rPr>
            </w:pPr>
            <w:r w:rsidRPr="00AA6309">
              <w:rPr>
                <w:rFonts w:ascii="Arial" w:hAnsi="Arial" w:cs="Arial"/>
                <w:color w:val="000000"/>
                <w:szCs w:val="20"/>
              </w:rPr>
              <w:t>When discussed at Forum we were told that under the NFFpassporting all schools would gain by at least 0.5%. The modelling shows this not to be true and there is a differential of £40000 between the formula amounts. My conce</w:t>
            </w:r>
            <w:r w:rsidRPr="00AA6309">
              <w:rPr>
                <w:rFonts w:ascii="Arial" w:hAnsi="Arial" w:cs="Arial"/>
                <w:color w:val="000000"/>
                <w:szCs w:val="20"/>
              </w:rPr>
              <w:t>rn is that the formula where most people gain will be the one that is voted for most rather than the one that makes the most sense. Forum supported the NFF passporting under the belief that everyone wouuld gain slightly and I feel that we have been misled.</w:t>
            </w:r>
            <w:r w:rsidRPr="00AA6309">
              <w:rPr>
                <w:rFonts w:ascii="Arial" w:hAnsi="Arial" w:cs="Arial"/>
                <w:color w:val="000000"/>
                <w:szCs w:val="20"/>
              </w:rPr>
              <w:t xml:space="preserve"> </w:t>
            </w:r>
          </w:p>
        </w:tc>
      </w:tr>
      <w:tr w:rsidR="00FF1399" w:rsidTr="00A92922">
        <w:trPr>
          <w:trHeight w:val="51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0024E5" w:rsidRPr="00AA6309" w:rsidRDefault="0076494B" w:rsidP="00A92922">
            <w:pPr>
              <w:rPr>
                <w:rFonts w:ascii="Arial" w:hAnsi="Arial" w:cs="Arial"/>
                <w:color w:val="000000"/>
                <w:szCs w:val="20"/>
              </w:rPr>
            </w:pPr>
            <w:r w:rsidRPr="00AA6309">
              <w:rPr>
                <w:rFonts w:ascii="Arial" w:hAnsi="Arial" w:cs="Arial"/>
                <w:color w:val="000000"/>
                <w:szCs w:val="20"/>
              </w:rPr>
              <w:t>I was given to understand from indirect feedback from the Schools Forum that all schools would benefit by 0.5% for the suggested 'Passporting' option. In my case, this is over £4k worse so the initial advice would seem to have been flawed?</w:t>
            </w:r>
          </w:p>
        </w:tc>
      </w:tr>
      <w:tr w:rsidR="00FF1399" w:rsidTr="00A92922">
        <w:trPr>
          <w:trHeight w:val="255"/>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0024E5" w:rsidRPr="00AA6309" w:rsidRDefault="0076494B" w:rsidP="00A92922">
            <w:pPr>
              <w:rPr>
                <w:rFonts w:ascii="Arial" w:hAnsi="Arial" w:cs="Arial"/>
                <w:color w:val="000000"/>
                <w:szCs w:val="20"/>
              </w:rPr>
            </w:pPr>
            <w:r w:rsidRPr="00AA6309">
              <w:rPr>
                <w:rFonts w:ascii="Arial" w:hAnsi="Arial" w:cs="Arial"/>
                <w:color w:val="000000"/>
                <w:szCs w:val="20"/>
              </w:rPr>
              <w:t>I think that</w:t>
            </w:r>
            <w:r w:rsidRPr="00AA6309">
              <w:rPr>
                <w:rFonts w:ascii="Arial" w:hAnsi="Arial" w:cs="Arial"/>
                <w:color w:val="000000"/>
                <w:szCs w:val="20"/>
              </w:rPr>
              <w:t xml:space="preserve"> we may as well embrace the future and make plans for it.</w:t>
            </w:r>
          </w:p>
        </w:tc>
      </w:tr>
      <w:tr w:rsidR="00FF1399" w:rsidTr="00A92922">
        <w:trPr>
          <w:trHeight w:val="255"/>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0024E5" w:rsidRPr="00AA6309" w:rsidRDefault="0076494B" w:rsidP="00A92922">
            <w:pPr>
              <w:rPr>
                <w:rFonts w:ascii="Arial" w:hAnsi="Arial" w:cs="Arial"/>
                <w:color w:val="000000"/>
                <w:szCs w:val="20"/>
              </w:rPr>
            </w:pPr>
            <w:r w:rsidRPr="00AA6309">
              <w:rPr>
                <w:rFonts w:ascii="Arial" w:hAnsi="Arial" w:cs="Arial"/>
                <w:color w:val="000000"/>
                <w:szCs w:val="20"/>
              </w:rPr>
              <w:t>best current  financial option for school</w:t>
            </w:r>
          </w:p>
        </w:tc>
      </w:tr>
      <w:tr w:rsidR="00FF1399" w:rsidTr="00A92922">
        <w:trPr>
          <w:trHeight w:val="255"/>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0024E5" w:rsidRPr="00AA6309" w:rsidRDefault="0076494B" w:rsidP="00A92922">
            <w:pPr>
              <w:rPr>
                <w:rFonts w:ascii="Arial" w:hAnsi="Arial" w:cs="Arial"/>
                <w:color w:val="000000"/>
                <w:szCs w:val="20"/>
              </w:rPr>
            </w:pPr>
            <w:r w:rsidRPr="00AA6309">
              <w:rPr>
                <w:rFonts w:ascii="Arial" w:hAnsi="Arial" w:cs="Arial"/>
                <w:color w:val="000000"/>
                <w:szCs w:val="20"/>
              </w:rPr>
              <w:t>3 is also PL...but not 1</w:t>
            </w:r>
          </w:p>
        </w:tc>
      </w:tr>
    </w:tbl>
    <w:p w:rsidR="000024E5" w:rsidRDefault="0076494B" w:rsidP="000024E5">
      <w:pPr>
        <w:jc w:val="both"/>
        <w:rPr>
          <w:rFonts w:ascii="Arial" w:hAnsi="Arial" w:cs="Arial"/>
          <w:b/>
        </w:rPr>
      </w:pPr>
    </w:p>
    <w:p w:rsidR="000024E5" w:rsidRDefault="0076494B" w:rsidP="000024E5">
      <w:pPr>
        <w:jc w:val="both"/>
        <w:rPr>
          <w:rFonts w:ascii="Arial" w:hAnsi="Arial" w:cs="Arial"/>
          <w:b/>
        </w:rPr>
      </w:pPr>
    </w:p>
    <w:p w:rsidR="000024E5" w:rsidRDefault="0076494B" w:rsidP="000024E5">
      <w:pPr>
        <w:jc w:val="both"/>
        <w:rPr>
          <w:rFonts w:ascii="Arial" w:hAnsi="Arial" w:cs="Arial"/>
          <w:b/>
        </w:rPr>
      </w:pPr>
      <w:r>
        <w:rPr>
          <w:rFonts w:ascii="Arial" w:hAnsi="Arial" w:cs="Arial"/>
          <w:b/>
        </w:rPr>
        <w:t>Question 2 Comments (Favouring Option 3)</w:t>
      </w:r>
    </w:p>
    <w:p w:rsidR="000024E5" w:rsidRDefault="0076494B" w:rsidP="000024E5">
      <w:pPr>
        <w:jc w:val="both"/>
        <w:rPr>
          <w:rFonts w:ascii="Arial" w:hAnsi="Arial" w:cs="Arial"/>
          <w:b/>
        </w:rPr>
      </w:pPr>
    </w:p>
    <w:tbl>
      <w:tblPr>
        <w:tblW w:w="5000" w:type="pct"/>
        <w:tblLook w:val="04A0" w:firstRow="1" w:lastRow="0" w:firstColumn="1" w:lastColumn="0" w:noHBand="0" w:noVBand="1"/>
      </w:tblPr>
      <w:tblGrid>
        <w:gridCol w:w="9736"/>
      </w:tblGrid>
      <w:tr w:rsidR="00FF1399" w:rsidTr="00A92922">
        <w:trPr>
          <w:trHeight w:val="306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24E5" w:rsidRPr="00AA6309" w:rsidRDefault="0076494B" w:rsidP="00A92922">
            <w:pPr>
              <w:rPr>
                <w:rFonts w:ascii="Arial" w:hAnsi="Arial" w:cs="Arial"/>
                <w:color w:val="000000"/>
                <w:szCs w:val="20"/>
              </w:rPr>
            </w:pPr>
            <w:r w:rsidRPr="00AA6309">
              <w:rPr>
                <w:rFonts w:ascii="Arial" w:hAnsi="Arial" w:cs="Arial"/>
                <w:color w:val="000000"/>
                <w:szCs w:val="20"/>
              </w:rPr>
              <w:t xml:space="preserve">I am dismayed by the fact the xxx school is forecast receive significantly less funding if Option 1 is adopted.  </w:t>
            </w:r>
            <w:r w:rsidRPr="00AA6309">
              <w:rPr>
                <w:rFonts w:ascii="Arial" w:hAnsi="Arial" w:cs="Arial"/>
                <w:color w:val="000000"/>
                <w:szCs w:val="20"/>
              </w:rPr>
              <w:br/>
            </w:r>
            <w:r w:rsidRPr="00AA6309">
              <w:rPr>
                <w:rFonts w:ascii="Arial" w:hAnsi="Arial" w:cs="Arial"/>
                <w:color w:val="000000"/>
                <w:szCs w:val="20"/>
              </w:rPr>
              <w:br/>
              <w:t>xxx school is funded lower than our local schools due to the variations in additional grants such as Pupil Premium.  In benchmarking exercise</w:t>
            </w:r>
            <w:r w:rsidRPr="00AA6309">
              <w:rPr>
                <w:rFonts w:ascii="Arial" w:hAnsi="Arial" w:cs="Arial"/>
                <w:color w:val="000000"/>
                <w:szCs w:val="20"/>
              </w:rPr>
              <w:t>s the school achieves good outcomes for some of the lowest funding rates in the area.  Whilst I can accept that more schools will “gain” by Option 1 it is evident from the consultation modelling that xxxx Primary School will receive circa £11k less than if</w:t>
            </w:r>
            <w:r w:rsidRPr="00AA6309">
              <w:rPr>
                <w:rFonts w:ascii="Arial" w:hAnsi="Arial" w:cs="Arial"/>
                <w:color w:val="000000"/>
                <w:szCs w:val="20"/>
              </w:rPr>
              <w:t xml:space="preserve"> Option 3 is adopted.  This is based on adjusting the baseline funding to reflect the additional £23.90/pupil. </w:t>
            </w:r>
            <w:r w:rsidRPr="00AA6309">
              <w:rPr>
                <w:rFonts w:ascii="Arial" w:hAnsi="Arial" w:cs="Arial"/>
                <w:color w:val="000000"/>
                <w:szCs w:val="20"/>
              </w:rPr>
              <w:br/>
            </w:r>
            <w:r w:rsidRPr="00AA6309">
              <w:rPr>
                <w:rFonts w:ascii="Arial" w:hAnsi="Arial" w:cs="Arial"/>
                <w:color w:val="000000"/>
                <w:szCs w:val="20"/>
              </w:rPr>
              <w:br/>
              <w:t>I have made some difficult decisions this year; staffing hours and staff CPD have been cut and more importantly services for children have been</w:t>
            </w:r>
            <w:r w:rsidRPr="00AA6309">
              <w:rPr>
                <w:rFonts w:ascii="Arial" w:hAnsi="Arial" w:cs="Arial"/>
                <w:color w:val="000000"/>
                <w:szCs w:val="20"/>
              </w:rPr>
              <w:t xml:space="preserve"> withdrawn. The option that would see the school funded an additional £11k, which would provide the school with far greater stability and improve outcomes for the children, is the only choice I can make.  If forced to I could support Option 2 as a half way</w:t>
            </w:r>
            <w:r w:rsidRPr="00AA6309">
              <w:rPr>
                <w:rFonts w:ascii="Arial" w:hAnsi="Arial" w:cs="Arial"/>
                <w:color w:val="000000"/>
                <w:szCs w:val="20"/>
              </w:rPr>
              <w:t xml:space="preserve"> compromise but from the evidence provided it is unlikely that this will be the preferred option. </w:t>
            </w:r>
          </w:p>
        </w:tc>
      </w:tr>
      <w:tr w:rsidR="00FF1399" w:rsidTr="00A92922">
        <w:trPr>
          <w:trHeight w:val="255"/>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0024E5" w:rsidRPr="00AA6309" w:rsidRDefault="0076494B" w:rsidP="00A92922">
            <w:pPr>
              <w:rPr>
                <w:rFonts w:ascii="Arial" w:hAnsi="Arial" w:cs="Arial"/>
                <w:color w:val="000000"/>
                <w:szCs w:val="20"/>
              </w:rPr>
            </w:pPr>
            <w:r w:rsidRPr="00AA6309">
              <w:rPr>
                <w:rFonts w:ascii="Arial" w:hAnsi="Arial" w:cs="Arial"/>
                <w:color w:val="000000"/>
                <w:szCs w:val="20"/>
              </w:rPr>
              <w:t>we will be worse off passporting</w:t>
            </w:r>
          </w:p>
        </w:tc>
      </w:tr>
      <w:tr w:rsidR="00FF1399" w:rsidTr="00A92922">
        <w:trPr>
          <w:trHeight w:val="102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0024E5" w:rsidRPr="00AA6309" w:rsidRDefault="0076494B" w:rsidP="00A92922">
            <w:pPr>
              <w:rPr>
                <w:rFonts w:ascii="Arial" w:hAnsi="Arial" w:cs="Arial"/>
                <w:color w:val="000000"/>
                <w:szCs w:val="20"/>
              </w:rPr>
            </w:pPr>
            <w:r w:rsidRPr="00AA6309">
              <w:rPr>
                <w:rFonts w:ascii="Arial" w:hAnsi="Arial" w:cs="Arial"/>
                <w:color w:val="000000"/>
                <w:szCs w:val="20"/>
              </w:rPr>
              <w:t>I understand the principle that moving towards the Passporting</w:t>
            </w:r>
            <w:r w:rsidRPr="00AA6309">
              <w:rPr>
                <w:rFonts w:ascii="Arial" w:hAnsi="Arial" w:cs="Arial"/>
                <w:color w:val="000000"/>
                <w:szCs w:val="20"/>
              </w:rPr>
              <w:t xml:space="preserve"> option at the earliest opportunity means that the factors in the NFF can be applied to schools - which means more stability in future years.  However, i think to aid the transition to the NFF the principle is that local councils can continue to implement </w:t>
            </w:r>
            <w:r w:rsidRPr="00AA6309">
              <w:rPr>
                <w:rFonts w:ascii="Arial" w:hAnsi="Arial" w:cs="Arial"/>
                <w:color w:val="000000"/>
                <w:szCs w:val="20"/>
              </w:rPr>
              <w:t xml:space="preserve">local decisions to minimise impact on schools.  I therefore belive that a hyrid option is the best option for schools to bridge the gap between now and a hard NFF in 2020-2021.  </w:t>
            </w:r>
          </w:p>
        </w:tc>
      </w:tr>
    </w:tbl>
    <w:p w:rsidR="000024E5" w:rsidRPr="007F366D" w:rsidRDefault="0076494B" w:rsidP="000024E5">
      <w:pPr>
        <w:jc w:val="both"/>
        <w:rPr>
          <w:rFonts w:ascii="Arial" w:hAnsi="Arial" w:cs="Arial"/>
          <w:b/>
        </w:rPr>
      </w:pPr>
    </w:p>
    <w:p w:rsidR="00616E08" w:rsidRDefault="0076494B">
      <w:pPr>
        <w:spacing w:after="160" w:line="259" w:lineRule="auto"/>
      </w:pPr>
      <w:r>
        <w:br w:type="page"/>
      </w:r>
    </w:p>
    <w:p w:rsidR="00616E08" w:rsidRPr="00616E08" w:rsidRDefault="0076494B" w:rsidP="00616E08">
      <w:pPr>
        <w:pStyle w:val="ListParagraph"/>
        <w:numPr>
          <w:ilvl w:val="0"/>
          <w:numId w:val="1"/>
        </w:numPr>
        <w:jc w:val="both"/>
        <w:rPr>
          <w:rFonts w:ascii="Arial" w:hAnsi="Arial" w:cs="Arial"/>
          <w:b/>
        </w:rPr>
      </w:pPr>
      <w:r w:rsidRPr="00616E08">
        <w:rPr>
          <w:rFonts w:ascii="Arial" w:hAnsi="Arial" w:cs="Arial"/>
          <w:b/>
        </w:rPr>
        <w:lastRenderedPageBreak/>
        <w:t xml:space="preserve">Consultation on the Lancashire 2018/19 Early Years National Funding </w:t>
      </w:r>
      <w:r w:rsidRPr="00616E08">
        <w:rPr>
          <w:rFonts w:ascii="Arial" w:hAnsi="Arial" w:cs="Arial"/>
          <w:b/>
        </w:rPr>
        <w:t>Formula (EYNFF) Proposals</w:t>
      </w:r>
    </w:p>
    <w:p w:rsidR="00616E08" w:rsidRDefault="0076494B" w:rsidP="00616E08">
      <w:pPr>
        <w:pStyle w:val="Default"/>
        <w:rPr>
          <w:b/>
        </w:rPr>
      </w:pPr>
    </w:p>
    <w:p w:rsidR="00616E08" w:rsidRDefault="0076494B" w:rsidP="00616E08">
      <w:pPr>
        <w:pStyle w:val="Default"/>
        <w:numPr>
          <w:ilvl w:val="0"/>
          <w:numId w:val="2"/>
        </w:numPr>
        <w:jc w:val="both"/>
        <w:rPr>
          <w:b/>
        </w:rPr>
      </w:pPr>
      <w:r w:rsidRPr="0044257C">
        <w:rPr>
          <w:b/>
        </w:rPr>
        <w:t>Universal Base Rate</w:t>
      </w:r>
    </w:p>
    <w:p w:rsidR="00616E08" w:rsidRDefault="0076494B" w:rsidP="00616E08">
      <w:pPr>
        <w:pStyle w:val="Default"/>
        <w:jc w:val="both"/>
      </w:pPr>
      <w:r w:rsidRPr="008F37F6">
        <w:t>The Universal Base Rate must be fully implemented by 2019/20</w:t>
      </w:r>
      <w:r>
        <w:t>.</w:t>
      </w:r>
    </w:p>
    <w:p w:rsidR="00616E08" w:rsidRPr="008F37F6" w:rsidRDefault="0076494B" w:rsidP="00616E08">
      <w:pPr>
        <w:pStyle w:val="Default"/>
        <w:jc w:val="both"/>
      </w:pPr>
    </w:p>
    <w:p w:rsidR="00616E08" w:rsidRPr="008F37F6" w:rsidRDefault="0076494B" w:rsidP="00616E08">
      <w:pPr>
        <w:pStyle w:val="Default"/>
        <w:jc w:val="both"/>
      </w:pPr>
      <w:r w:rsidRPr="008F37F6">
        <w:t>Proposed to incorporate one year of transitional protection in 2018/19</w:t>
      </w:r>
      <w:r>
        <w:t>:</w:t>
      </w:r>
    </w:p>
    <w:p w:rsidR="00616E08" w:rsidRPr="008F37F6" w:rsidRDefault="0076494B" w:rsidP="00616E08">
      <w:pPr>
        <w:pStyle w:val="Default"/>
        <w:numPr>
          <w:ilvl w:val="0"/>
          <w:numId w:val="3"/>
        </w:numPr>
        <w:jc w:val="both"/>
      </w:pPr>
      <w:r w:rsidRPr="008F37F6">
        <w:t>PVI - £4.08</w:t>
      </w:r>
    </w:p>
    <w:p w:rsidR="00616E08" w:rsidRPr="008F37F6" w:rsidRDefault="0076494B" w:rsidP="00616E08">
      <w:pPr>
        <w:pStyle w:val="Default"/>
        <w:numPr>
          <w:ilvl w:val="0"/>
          <w:numId w:val="3"/>
        </w:numPr>
        <w:jc w:val="both"/>
      </w:pPr>
      <w:r w:rsidRPr="008F37F6">
        <w:t>Nursery class - £4.08 plus £0.18 = £4.26</w:t>
      </w:r>
    </w:p>
    <w:p w:rsidR="00616E08" w:rsidRPr="008F37F6" w:rsidRDefault="0076494B" w:rsidP="00616E08">
      <w:pPr>
        <w:pStyle w:val="Default"/>
        <w:numPr>
          <w:ilvl w:val="0"/>
          <w:numId w:val="3"/>
        </w:numPr>
        <w:jc w:val="both"/>
      </w:pPr>
      <w:r w:rsidRPr="008F37F6">
        <w:t>Childminder - £4.08 p</w:t>
      </w:r>
      <w:r w:rsidRPr="008F37F6">
        <w:t>lus £0.41 = £4.49</w:t>
      </w:r>
    </w:p>
    <w:p w:rsidR="00616E08" w:rsidRPr="008F37F6" w:rsidRDefault="0076494B" w:rsidP="00616E08">
      <w:pPr>
        <w:pStyle w:val="Default"/>
        <w:numPr>
          <w:ilvl w:val="0"/>
          <w:numId w:val="3"/>
        </w:numPr>
        <w:jc w:val="both"/>
      </w:pPr>
      <w:r w:rsidRPr="008F37F6">
        <w:t>Nursery School - £4.08 plus Ring-fenced Maintained Nursery School Grant (subject to confirmation by new government)</w:t>
      </w:r>
    </w:p>
    <w:p w:rsidR="00616E08" w:rsidRDefault="0076494B" w:rsidP="00616E08">
      <w:pPr>
        <w:pStyle w:val="Default"/>
        <w:jc w:val="both"/>
        <w:rPr>
          <w:b/>
        </w:rPr>
      </w:pPr>
    </w:p>
    <w:p w:rsidR="00616E08" w:rsidRDefault="0076494B" w:rsidP="00616E08">
      <w:pPr>
        <w:pStyle w:val="Default"/>
        <w:jc w:val="both"/>
        <w:rPr>
          <w:b/>
          <w:i/>
          <w:iCs/>
        </w:rPr>
      </w:pPr>
      <w:r w:rsidRPr="008F37F6">
        <w:rPr>
          <w:b/>
          <w:i/>
          <w:iCs/>
        </w:rPr>
        <w:t xml:space="preserve">Q1. Do you agree with the proposal to move towards Universal Base Rate in 2018/19 incorporating one year of transitional </w:t>
      </w:r>
      <w:r w:rsidRPr="008F37F6">
        <w:rPr>
          <w:b/>
          <w:i/>
          <w:iCs/>
        </w:rPr>
        <w:t>funding?</w:t>
      </w:r>
    </w:p>
    <w:p w:rsidR="00616E08" w:rsidRDefault="0076494B" w:rsidP="00616E08">
      <w:pPr>
        <w:pStyle w:val="Default"/>
        <w:rPr>
          <w:b/>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41"/>
        <w:gridCol w:w="1893"/>
        <w:gridCol w:w="1149"/>
        <w:gridCol w:w="989"/>
        <w:gridCol w:w="1164"/>
      </w:tblGrid>
      <w:tr w:rsidR="00FF1399" w:rsidTr="00A92922">
        <w:trPr>
          <w:trHeight w:val="397"/>
        </w:trPr>
        <w:tc>
          <w:tcPr>
            <w:tcW w:w="2332" w:type="pct"/>
            <w:shd w:val="clear" w:color="auto" w:fill="auto"/>
            <w:tcMar>
              <w:top w:w="15" w:type="dxa"/>
              <w:left w:w="15" w:type="dxa"/>
              <w:bottom w:w="0" w:type="dxa"/>
              <w:right w:w="15" w:type="dxa"/>
            </w:tcMar>
            <w:vAlign w:val="bottom"/>
            <w:hideMark/>
          </w:tcPr>
          <w:p w:rsidR="00616E08" w:rsidRPr="008F37F6" w:rsidRDefault="0076494B" w:rsidP="00A92922">
            <w:pPr>
              <w:pStyle w:val="Default"/>
              <w:rPr>
                <w:b/>
              </w:rPr>
            </w:pPr>
          </w:p>
        </w:tc>
        <w:tc>
          <w:tcPr>
            <w:tcW w:w="972" w:type="pct"/>
            <w:shd w:val="clear" w:color="auto" w:fill="auto"/>
            <w:tcMar>
              <w:top w:w="15" w:type="dxa"/>
              <w:left w:w="15" w:type="dxa"/>
              <w:bottom w:w="0" w:type="dxa"/>
              <w:right w:w="15" w:type="dxa"/>
            </w:tcMar>
            <w:vAlign w:val="center"/>
            <w:hideMark/>
          </w:tcPr>
          <w:p w:rsidR="00616E08" w:rsidRPr="008F37F6" w:rsidRDefault="0076494B" w:rsidP="00A92922">
            <w:pPr>
              <w:pStyle w:val="Default"/>
              <w:jc w:val="center"/>
              <w:rPr>
                <w:b/>
              </w:rPr>
            </w:pPr>
            <w:r w:rsidRPr="008F37F6">
              <w:rPr>
                <w:b/>
                <w:bCs/>
              </w:rPr>
              <w:t>Responses</w:t>
            </w:r>
          </w:p>
        </w:tc>
        <w:tc>
          <w:tcPr>
            <w:tcW w:w="590" w:type="pct"/>
            <w:shd w:val="clear" w:color="auto" w:fill="auto"/>
            <w:tcMar>
              <w:top w:w="15" w:type="dxa"/>
              <w:left w:w="15" w:type="dxa"/>
              <w:bottom w:w="0" w:type="dxa"/>
              <w:right w:w="15" w:type="dxa"/>
            </w:tcMar>
            <w:vAlign w:val="center"/>
            <w:hideMark/>
          </w:tcPr>
          <w:p w:rsidR="00616E08" w:rsidRPr="008F37F6" w:rsidRDefault="0076494B" w:rsidP="00A92922">
            <w:pPr>
              <w:pStyle w:val="Default"/>
              <w:jc w:val="center"/>
              <w:rPr>
                <w:b/>
              </w:rPr>
            </w:pPr>
            <w:r w:rsidRPr="008F37F6">
              <w:rPr>
                <w:b/>
                <w:bCs/>
              </w:rPr>
              <w:t>Yes</w:t>
            </w:r>
          </w:p>
        </w:tc>
        <w:tc>
          <w:tcPr>
            <w:tcW w:w="508" w:type="pct"/>
            <w:shd w:val="clear" w:color="auto" w:fill="auto"/>
            <w:tcMar>
              <w:top w:w="15" w:type="dxa"/>
              <w:left w:w="15" w:type="dxa"/>
              <w:bottom w:w="0" w:type="dxa"/>
              <w:right w:w="15" w:type="dxa"/>
            </w:tcMar>
            <w:vAlign w:val="center"/>
            <w:hideMark/>
          </w:tcPr>
          <w:p w:rsidR="00616E08" w:rsidRPr="008F37F6" w:rsidRDefault="0076494B" w:rsidP="00A92922">
            <w:pPr>
              <w:pStyle w:val="Default"/>
              <w:jc w:val="center"/>
              <w:rPr>
                <w:b/>
              </w:rPr>
            </w:pPr>
            <w:r w:rsidRPr="008F37F6">
              <w:rPr>
                <w:b/>
                <w:bCs/>
              </w:rPr>
              <w:t>No</w:t>
            </w:r>
          </w:p>
        </w:tc>
        <w:tc>
          <w:tcPr>
            <w:tcW w:w="598" w:type="pct"/>
            <w:shd w:val="clear" w:color="auto" w:fill="auto"/>
            <w:tcMar>
              <w:top w:w="15" w:type="dxa"/>
              <w:left w:w="15" w:type="dxa"/>
              <w:bottom w:w="0" w:type="dxa"/>
              <w:right w:w="15" w:type="dxa"/>
            </w:tcMar>
            <w:vAlign w:val="center"/>
            <w:hideMark/>
          </w:tcPr>
          <w:p w:rsidR="00616E08" w:rsidRPr="008F37F6" w:rsidRDefault="0076494B" w:rsidP="00A92922">
            <w:pPr>
              <w:pStyle w:val="Default"/>
              <w:jc w:val="center"/>
              <w:rPr>
                <w:b/>
              </w:rPr>
            </w:pPr>
            <w:r w:rsidRPr="008F37F6">
              <w:rPr>
                <w:b/>
                <w:bCs/>
              </w:rPr>
              <w:t>Not sure</w:t>
            </w:r>
          </w:p>
        </w:tc>
      </w:tr>
      <w:tr w:rsidR="00FF1399" w:rsidTr="00A92922">
        <w:trPr>
          <w:trHeight w:val="397"/>
        </w:trPr>
        <w:tc>
          <w:tcPr>
            <w:tcW w:w="2332" w:type="pct"/>
            <w:shd w:val="clear" w:color="auto" w:fill="auto"/>
            <w:tcMar>
              <w:top w:w="15" w:type="dxa"/>
              <w:left w:w="15" w:type="dxa"/>
              <w:bottom w:w="0" w:type="dxa"/>
              <w:right w:w="15" w:type="dxa"/>
            </w:tcMar>
            <w:vAlign w:val="center"/>
            <w:hideMark/>
          </w:tcPr>
          <w:p w:rsidR="00616E08" w:rsidRPr="008F37F6" w:rsidRDefault="0076494B" w:rsidP="00A92922">
            <w:pPr>
              <w:pStyle w:val="Default"/>
            </w:pPr>
            <w:r w:rsidRPr="008F37F6">
              <w:t>Nursery School</w:t>
            </w:r>
          </w:p>
        </w:tc>
        <w:tc>
          <w:tcPr>
            <w:tcW w:w="972" w:type="pct"/>
            <w:shd w:val="clear" w:color="auto" w:fill="auto"/>
            <w:tcMar>
              <w:top w:w="15" w:type="dxa"/>
              <w:left w:w="15" w:type="dxa"/>
              <w:bottom w:w="0" w:type="dxa"/>
              <w:right w:w="15" w:type="dxa"/>
            </w:tcMar>
            <w:vAlign w:val="center"/>
            <w:hideMark/>
          </w:tcPr>
          <w:p w:rsidR="00616E08" w:rsidRPr="008F37F6" w:rsidRDefault="0076494B" w:rsidP="00A92922">
            <w:pPr>
              <w:pStyle w:val="Default"/>
              <w:jc w:val="center"/>
            </w:pPr>
            <w:r>
              <w:t>15</w:t>
            </w:r>
          </w:p>
        </w:tc>
        <w:tc>
          <w:tcPr>
            <w:tcW w:w="590" w:type="pct"/>
            <w:shd w:val="clear" w:color="auto" w:fill="auto"/>
            <w:tcMar>
              <w:top w:w="15" w:type="dxa"/>
              <w:left w:w="15" w:type="dxa"/>
              <w:bottom w:w="0" w:type="dxa"/>
              <w:right w:w="15" w:type="dxa"/>
            </w:tcMar>
            <w:vAlign w:val="center"/>
            <w:hideMark/>
          </w:tcPr>
          <w:p w:rsidR="00616E08" w:rsidRPr="008F37F6" w:rsidRDefault="0076494B" w:rsidP="00A92922">
            <w:pPr>
              <w:pStyle w:val="Default"/>
              <w:jc w:val="center"/>
            </w:pPr>
            <w:r>
              <w:t>12</w:t>
            </w:r>
          </w:p>
        </w:tc>
        <w:tc>
          <w:tcPr>
            <w:tcW w:w="508" w:type="pct"/>
            <w:shd w:val="clear" w:color="auto" w:fill="auto"/>
            <w:tcMar>
              <w:top w:w="15" w:type="dxa"/>
              <w:left w:w="15" w:type="dxa"/>
              <w:bottom w:w="0" w:type="dxa"/>
              <w:right w:w="15" w:type="dxa"/>
            </w:tcMar>
            <w:vAlign w:val="center"/>
            <w:hideMark/>
          </w:tcPr>
          <w:p w:rsidR="00616E08" w:rsidRPr="008F37F6" w:rsidRDefault="0076494B" w:rsidP="00A92922">
            <w:pPr>
              <w:pStyle w:val="Default"/>
              <w:jc w:val="center"/>
            </w:pPr>
            <w:r>
              <w:t>2</w:t>
            </w:r>
          </w:p>
        </w:tc>
        <w:tc>
          <w:tcPr>
            <w:tcW w:w="598" w:type="pct"/>
            <w:shd w:val="clear" w:color="auto" w:fill="auto"/>
            <w:tcMar>
              <w:top w:w="15" w:type="dxa"/>
              <w:left w:w="15" w:type="dxa"/>
              <w:bottom w:w="0" w:type="dxa"/>
              <w:right w:w="15" w:type="dxa"/>
            </w:tcMar>
            <w:vAlign w:val="center"/>
            <w:hideMark/>
          </w:tcPr>
          <w:p w:rsidR="00616E08" w:rsidRPr="008F37F6" w:rsidRDefault="0076494B" w:rsidP="00A92922">
            <w:pPr>
              <w:pStyle w:val="Default"/>
              <w:jc w:val="center"/>
            </w:pPr>
            <w:r>
              <w:t>1</w:t>
            </w:r>
          </w:p>
        </w:tc>
      </w:tr>
      <w:tr w:rsidR="00FF1399" w:rsidTr="00A92922">
        <w:trPr>
          <w:trHeight w:val="397"/>
        </w:trPr>
        <w:tc>
          <w:tcPr>
            <w:tcW w:w="2332" w:type="pct"/>
            <w:shd w:val="clear" w:color="auto" w:fill="auto"/>
            <w:tcMar>
              <w:top w:w="15" w:type="dxa"/>
              <w:left w:w="15" w:type="dxa"/>
              <w:bottom w:w="0" w:type="dxa"/>
              <w:right w:w="15" w:type="dxa"/>
            </w:tcMar>
            <w:vAlign w:val="center"/>
            <w:hideMark/>
          </w:tcPr>
          <w:p w:rsidR="00616E08" w:rsidRPr="008F37F6" w:rsidRDefault="0076494B" w:rsidP="00A92922">
            <w:pPr>
              <w:pStyle w:val="Default"/>
            </w:pPr>
            <w:r w:rsidRPr="008F37F6">
              <w:rPr>
                <w:lang w:val="en-US"/>
              </w:rPr>
              <w:t>Primary School with Nursery Class</w:t>
            </w:r>
          </w:p>
        </w:tc>
        <w:tc>
          <w:tcPr>
            <w:tcW w:w="972" w:type="pct"/>
            <w:shd w:val="clear" w:color="auto" w:fill="auto"/>
            <w:tcMar>
              <w:top w:w="15" w:type="dxa"/>
              <w:left w:w="15" w:type="dxa"/>
              <w:bottom w:w="0" w:type="dxa"/>
              <w:right w:w="15" w:type="dxa"/>
            </w:tcMar>
            <w:vAlign w:val="center"/>
            <w:hideMark/>
          </w:tcPr>
          <w:p w:rsidR="00616E08" w:rsidRPr="008F37F6" w:rsidRDefault="0076494B" w:rsidP="00A92922">
            <w:pPr>
              <w:pStyle w:val="Default"/>
              <w:jc w:val="center"/>
            </w:pPr>
            <w:r>
              <w:t>8</w:t>
            </w:r>
          </w:p>
        </w:tc>
        <w:tc>
          <w:tcPr>
            <w:tcW w:w="590" w:type="pct"/>
            <w:shd w:val="clear" w:color="auto" w:fill="auto"/>
            <w:tcMar>
              <w:top w:w="15" w:type="dxa"/>
              <w:left w:w="15" w:type="dxa"/>
              <w:bottom w:w="0" w:type="dxa"/>
              <w:right w:w="15" w:type="dxa"/>
            </w:tcMar>
            <w:vAlign w:val="center"/>
            <w:hideMark/>
          </w:tcPr>
          <w:p w:rsidR="00616E08" w:rsidRPr="008F37F6" w:rsidRDefault="0076494B" w:rsidP="00A92922">
            <w:pPr>
              <w:pStyle w:val="Default"/>
              <w:jc w:val="center"/>
            </w:pPr>
            <w:r>
              <w:t>5</w:t>
            </w:r>
          </w:p>
        </w:tc>
        <w:tc>
          <w:tcPr>
            <w:tcW w:w="508" w:type="pct"/>
            <w:shd w:val="clear" w:color="auto" w:fill="auto"/>
            <w:tcMar>
              <w:top w:w="15" w:type="dxa"/>
              <w:left w:w="15" w:type="dxa"/>
              <w:bottom w:w="0" w:type="dxa"/>
              <w:right w:w="15" w:type="dxa"/>
            </w:tcMar>
            <w:vAlign w:val="center"/>
            <w:hideMark/>
          </w:tcPr>
          <w:p w:rsidR="00616E08" w:rsidRPr="008F37F6" w:rsidRDefault="0076494B" w:rsidP="00A92922">
            <w:pPr>
              <w:pStyle w:val="Default"/>
              <w:jc w:val="center"/>
            </w:pPr>
            <w:r>
              <w:t>3</w:t>
            </w:r>
          </w:p>
        </w:tc>
        <w:tc>
          <w:tcPr>
            <w:tcW w:w="598" w:type="pct"/>
            <w:shd w:val="clear" w:color="auto" w:fill="auto"/>
            <w:tcMar>
              <w:top w:w="15" w:type="dxa"/>
              <w:left w:w="15" w:type="dxa"/>
              <w:bottom w:w="0" w:type="dxa"/>
              <w:right w:w="15" w:type="dxa"/>
            </w:tcMar>
            <w:vAlign w:val="center"/>
            <w:hideMark/>
          </w:tcPr>
          <w:p w:rsidR="00616E08" w:rsidRPr="008F37F6" w:rsidRDefault="0076494B" w:rsidP="00A92922">
            <w:pPr>
              <w:pStyle w:val="Default"/>
              <w:jc w:val="center"/>
            </w:pPr>
            <w:r>
              <w:t>0</w:t>
            </w:r>
          </w:p>
        </w:tc>
      </w:tr>
      <w:tr w:rsidR="00FF1399" w:rsidTr="00A92922">
        <w:trPr>
          <w:trHeight w:val="397"/>
        </w:trPr>
        <w:tc>
          <w:tcPr>
            <w:tcW w:w="2332" w:type="pct"/>
            <w:shd w:val="clear" w:color="auto" w:fill="auto"/>
            <w:tcMar>
              <w:top w:w="15" w:type="dxa"/>
              <w:left w:w="15" w:type="dxa"/>
              <w:bottom w:w="0" w:type="dxa"/>
              <w:right w:w="15" w:type="dxa"/>
            </w:tcMar>
            <w:vAlign w:val="center"/>
            <w:hideMark/>
          </w:tcPr>
          <w:p w:rsidR="00616E08" w:rsidRPr="008F37F6" w:rsidRDefault="0076494B" w:rsidP="00A92922">
            <w:pPr>
              <w:pStyle w:val="Default"/>
            </w:pPr>
            <w:r w:rsidRPr="008F37F6">
              <w:t>Private, Voluntary and Independent</w:t>
            </w:r>
          </w:p>
        </w:tc>
        <w:tc>
          <w:tcPr>
            <w:tcW w:w="972" w:type="pct"/>
            <w:shd w:val="clear" w:color="auto" w:fill="auto"/>
            <w:tcMar>
              <w:top w:w="15" w:type="dxa"/>
              <w:left w:w="15" w:type="dxa"/>
              <w:bottom w:w="0" w:type="dxa"/>
              <w:right w:w="15" w:type="dxa"/>
            </w:tcMar>
            <w:vAlign w:val="center"/>
            <w:hideMark/>
          </w:tcPr>
          <w:p w:rsidR="00616E08" w:rsidRPr="008F37F6" w:rsidRDefault="0076494B" w:rsidP="00A92922">
            <w:pPr>
              <w:pStyle w:val="Default"/>
              <w:jc w:val="center"/>
            </w:pPr>
            <w:r>
              <w:t>41</w:t>
            </w:r>
          </w:p>
        </w:tc>
        <w:tc>
          <w:tcPr>
            <w:tcW w:w="590" w:type="pct"/>
            <w:shd w:val="clear" w:color="auto" w:fill="auto"/>
            <w:tcMar>
              <w:top w:w="15" w:type="dxa"/>
              <w:left w:w="15" w:type="dxa"/>
              <w:bottom w:w="0" w:type="dxa"/>
              <w:right w:w="15" w:type="dxa"/>
            </w:tcMar>
            <w:vAlign w:val="center"/>
            <w:hideMark/>
          </w:tcPr>
          <w:p w:rsidR="00616E08" w:rsidRPr="008F37F6" w:rsidRDefault="0076494B" w:rsidP="00A92922">
            <w:pPr>
              <w:pStyle w:val="Default"/>
              <w:jc w:val="center"/>
            </w:pPr>
            <w:r>
              <w:t>19</w:t>
            </w:r>
          </w:p>
        </w:tc>
        <w:tc>
          <w:tcPr>
            <w:tcW w:w="508" w:type="pct"/>
            <w:shd w:val="clear" w:color="auto" w:fill="auto"/>
            <w:tcMar>
              <w:top w:w="15" w:type="dxa"/>
              <w:left w:w="15" w:type="dxa"/>
              <w:bottom w:w="0" w:type="dxa"/>
              <w:right w:w="15" w:type="dxa"/>
            </w:tcMar>
            <w:vAlign w:val="center"/>
            <w:hideMark/>
          </w:tcPr>
          <w:p w:rsidR="00616E08" w:rsidRPr="008F37F6" w:rsidRDefault="0076494B" w:rsidP="00A92922">
            <w:pPr>
              <w:pStyle w:val="Default"/>
              <w:jc w:val="center"/>
            </w:pPr>
            <w:r>
              <w:t>13</w:t>
            </w:r>
          </w:p>
        </w:tc>
        <w:tc>
          <w:tcPr>
            <w:tcW w:w="598" w:type="pct"/>
            <w:shd w:val="clear" w:color="auto" w:fill="auto"/>
            <w:tcMar>
              <w:top w:w="15" w:type="dxa"/>
              <w:left w:w="15" w:type="dxa"/>
              <w:bottom w:w="0" w:type="dxa"/>
              <w:right w:w="15" w:type="dxa"/>
            </w:tcMar>
            <w:vAlign w:val="center"/>
            <w:hideMark/>
          </w:tcPr>
          <w:p w:rsidR="00616E08" w:rsidRPr="008F37F6" w:rsidRDefault="0076494B" w:rsidP="00A92922">
            <w:pPr>
              <w:pStyle w:val="Default"/>
              <w:jc w:val="center"/>
            </w:pPr>
            <w:r>
              <w:t>9</w:t>
            </w:r>
          </w:p>
        </w:tc>
      </w:tr>
      <w:tr w:rsidR="00FF1399" w:rsidTr="00A92922">
        <w:trPr>
          <w:trHeight w:val="397"/>
        </w:trPr>
        <w:tc>
          <w:tcPr>
            <w:tcW w:w="2332" w:type="pct"/>
            <w:shd w:val="clear" w:color="auto" w:fill="auto"/>
            <w:tcMar>
              <w:top w:w="15" w:type="dxa"/>
              <w:left w:w="15" w:type="dxa"/>
              <w:bottom w:w="0" w:type="dxa"/>
              <w:right w:w="15" w:type="dxa"/>
            </w:tcMar>
            <w:vAlign w:val="center"/>
            <w:hideMark/>
          </w:tcPr>
          <w:p w:rsidR="00616E08" w:rsidRPr="008F37F6" w:rsidRDefault="0076494B" w:rsidP="00A92922">
            <w:pPr>
              <w:pStyle w:val="Default"/>
            </w:pPr>
            <w:r w:rsidRPr="008F37F6">
              <w:t>Eligible Child Minder</w:t>
            </w:r>
          </w:p>
        </w:tc>
        <w:tc>
          <w:tcPr>
            <w:tcW w:w="972" w:type="pct"/>
            <w:shd w:val="clear" w:color="auto" w:fill="auto"/>
            <w:tcMar>
              <w:top w:w="15" w:type="dxa"/>
              <w:left w:w="15" w:type="dxa"/>
              <w:bottom w:w="0" w:type="dxa"/>
              <w:right w:w="15" w:type="dxa"/>
            </w:tcMar>
            <w:vAlign w:val="center"/>
            <w:hideMark/>
          </w:tcPr>
          <w:p w:rsidR="00616E08" w:rsidRPr="008F37F6" w:rsidRDefault="0076494B" w:rsidP="00A92922">
            <w:pPr>
              <w:pStyle w:val="Default"/>
              <w:jc w:val="center"/>
            </w:pPr>
            <w:r>
              <w:t>26</w:t>
            </w:r>
          </w:p>
        </w:tc>
        <w:tc>
          <w:tcPr>
            <w:tcW w:w="590" w:type="pct"/>
            <w:shd w:val="clear" w:color="auto" w:fill="auto"/>
            <w:tcMar>
              <w:top w:w="15" w:type="dxa"/>
              <w:left w:w="15" w:type="dxa"/>
              <w:bottom w:w="0" w:type="dxa"/>
              <w:right w:w="15" w:type="dxa"/>
            </w:tcMar>
            <w:vAlign w:val="center"/>
            <w:hideMark/>
          </w:tcPr>
          <w:p w:rsidR="00616E08" w:rsidRPr="008F37F6" w:rsidRDefault="0076494B" w:rsidP="00A92922">
            <w:pPr>
              <w:pStyle w:val="Default"/>
              <w:jc w:val="center"/>
            </w:pPr>
            <w:r>
              <w:t>8</w:t>
            </w:r>
          </w:p>
        </w:tc>
        <w:tc>
          <w:tcPr>
            <w:tcW w:w="508" w:type="pct"/>
            <w:shd w:val="clear" w:color="auto" w:fill="auto"/>
            <w:tcMar>
              <w:top w:w="15" w:type="dxa"/>
              <w:left w:w="15" w:type="dxa"/>
              <w:bottom w:w="0" w:type="dxa"/>
              <w:right w:w="15" w:type="dxa"/>
            </w:tcMar>
            <w:vAlign w:val="center"/>
            <w:hideMark/>
          </w:tcPr>
          <w:p w:rsidR="00616E08" w:rsidRPr="008F37F6" w:rsidRDefault="0076494B" w:rsidP="00A92922">
            <w:pPr>
              <w:pStyle w:val="Default"/>
              <w:jc w:val="center"/>
            </w:pPr>
            <w:r>
              <w:t>13</w:t>
            </w:r>
          </w:p>
        </w:tc>
        <w:tc>
          <w:tcPr>
            <w:tcW w:w="598" w:type="pct"/>
            <w:shd w:val="clear" w:color="auto" w:fill="auto"/>
            <w:tcMar>
              <w:top w:w="15" w:type="dxa"/>
              <w:left w:w="15" w:type="dxa"/>
              <w:bottom w:w="0" w:type="dxa"/>
              <w:right w:w="15" w:type="dxa"/>
            </w:tcMar>
            <w:vAlign w:val="center"/>
            <w:hideMark/>
          </w:tcPr>
          <w:p w:rsidR="00616E08" w:rsidRPr="008F37F6" w:rsidRDefault="0076494B" w:rsidP="00A92922">
            <w:pPr>
              <w:pStyle w:val="Default"/>
              <w:jc w:val="center"/>
            </w:pPr>
            <w:r>
              <w:t>5</w:t>
            </w:r>
          </w:p>
        </w:tc>
      </w:tr>
      <w:tr w:rsidR="00FF1399" w:rsidTr="00A92922">
        <w:trPr>
          <w:trHeight w:val="397"/>
        </w:trPr>
        <w:tc>
          <w:tcPr>
            <w:tcW w:w="2332" w:type="pct"/>
            <w:shd w:val="clear" w:color="auto" w:fill="auto"/>
            <w:tcMar>
              <w:top w:w="15" w:type="dxa"/>
              <w:left w:w="15" w:type="dxa"/>
              <w:bottom w:w="0" w:type="dxa"/>
              <w:right w:w="15" w:type="dxa"/>
            </w:tcMar>
            <w:vAlign w:val="center"/>
            <w:hideMark/>
          </w:tcPr>
          <w:p w:rsidR="00616E08" w:rsidRPr="008F37F6" w:rsidRDefault="0076494B" w:rsidP="00A92922">
            <w:pPr>
              <w:pStyle w:val="Default"/>
              <w:rPr>
                <w:b/>
              </w:rPr>
            </w:pPr>
            <w:r w:rsidRPr="008F37F6">
              <w:rPr>
                <w:b/>
                <w:bCs/>
              </w:rPr>
              <w:t>Total</w:t>
            </w:r>
          </w:p>
        </w:tc>
        <w:tc>
          <w:tcPr>
            <w:tcW w:w="972" w:type="pct"/>
            <w:shd w:val="clear" w:color="auto" w:fill="auto"/>
            <w:tcMar>
              <w:top w:w="15" w:type="dxa"/>
              <w:left w:w="15" w:type="dxa"/>
              <w:bottom w:w="0" w:type="dxa"/>
              <w:right w:w="15" w:type="dxa"/>
            </w:tcMar>
            <w:vAlign w:val="center"/>
            <w:hideMark/>
          </w:tcPr>
          <w:p w:rsidR="00616E08" w:rsidRPr="00FB4A83" w:rsidRDefault="0076494B" w:rsidP="00A92922">
            <w:pPr>
              <w:pStyle w:val="Default"/>
              <w:jc w:val="center"/>
              <w:rPr>
                <w:b/>
              </w:rPr>
            </w:pPr>
            <w:r w:rsidRPr="00FB4A83">
              <w:rPr>
                <w:b/>
              </w:rPr>
              <w:t>90</w:t>
            </w:r>
          </w:p>
        </w:tc>
        <w:tc>
          <w:tcPr>
            <w:tcW w:w="590" w:type="pct"/>
            <w:shd w:val="clear" w:color="auto" w:fill="auto"/>
            <w:tcMar>
              <w:top w:w="15" w:type="dxa"/>
              <w:left w:w="15" w:type="dxa"/>
              <w:bottom w:w="0" w:type="dxa"/>
              <w:right w:w="15" w:type="dxa"/>
            </w:tcMar>
            <w:vAlign w:val="center"/>
            <w:hideMark/>
          </w:tcPr>
          <w:p w:rsidR="00616E08" w:rsidRPr="00FB4A83" w:rsidRDefault="0076494B" w:rsidP="00A92922">
            <w:pPr>
              <w:pStyle w:val="Default"/>
              <w:jc w:val="center"/>
              <w:rPr>
                <w:b/>
              </w:rPr>
            </w:pPr>
            <w:r w:rsidRPr="00FB4A83">
              <w:rPr>
                <w:b/>
              </w:rPr>
              <w:t>44</w:t>
            </w:r>
          </w:p>
        </w:tc>
        <w:tc>
          <w:tcPr>
            <w:tcW w:w="508" w:type="pct"/>
            <w:shd w:val="clear" w:color="auto" w:fill="auto"/>
            <w:tcMar>
              <w:top w:w="15" w:type="dxa"/>
              <w:left w:w="15" w:type="dxa"/>
              <w:bottom w:w="0" w:type="dxa"/>
              <w:right w:w="15" w:type="dxa"/>
            </w:tcMar>
            <w:vAlign w:val="center"/>
            <w:hideMark/>
          </w:tcPr>
          <w:p w:rsidR="00616E08" w:rsidRPr="00FB4A83" w:rsidRDefault="0076494B" w:rsidP="00A92922">
            <w:pPr>
              <w:pStyle w:val="Default"/>
              <w:jc w:val="center"/>
              <w:rPr>
                <w:b/>
              </w:rPr>
            </w:pPr>
            <w:r w:rsidRPr="00FB4A83">
              <w:rPr>
                <w:b/>
              </w:rPr>
              <w:t>31</w:t>
            </w:r>
          </w:p>
        </w:tc>
        <w:tc>
          <w:tcPr>
            <w:tcW w:w="598" w:type="pct"/>
            <w:shd w:val="clear" w:color="auto" w:fill="auto"/>
            <w:tcMar>
              <w:top w:w="15" w:type="dxa"/>
              <w:left w:w="15" w:type="dxa"/>
              <w:bottom w:w="0" w:type="dxa"/>
              <w:right w:w="15" w:type="dxa"/>
            </w:tcMar>
            <w:vAlign w:val="center"/>
            <w:hideMark/>
          </w:tcPr>
          <w:p w:rsidR="00616E08" w:rsidRPr="00FB4A83" w:rsidRDefault="0076494B" w:rsidP="00A92922">
            <w:pPr>
              <w:pStyle w:val="Default"/>
              <w:jc w:val="center"/>
              <w:rPr>
                <w:b/>
              </w:rPr>
            </w:pPr>
            <w:r w:rsidRPr="00FB4A83">
              <w:rPr>
                <w:b/>
              </w:rPr>
              <w:t>15</w:t>
            </w:r>
          </w:p>
        </w:tc>
      </w:tr>
      <w:tr w:rsidR="00FF1399" w:rsidTr="00A92922">
        <w:trPr>
          <w:trHeight w:val="397"/>
        </w:trPr>
        <w:tc>
          <w:tcPr>
            <w:tcW w:w="2332" w:type="pct"/>
            <w:shd w:val="clear" w:color="auto" w:fill="auto"/>
            <w:tcMar>
              <w:top w:w="15" w:type="dxa"/>
              <w:left w:w="15" w:type="dxa"/>
              <w:bottom w:w="0" w:type="dxa"/>
              <w:right w:w="15" w:type="dxa"/>
            </w:tcMar>
            <w:vAlign w:val="center"/>
            <w:hideMark/>
          </w:tcPr>
          <w:p w:rsidR="00616E08" w:rsidRPr="008F37F6" w:rsidRDefault="0076494B" w:rsidP="00A92922">
            <w:pPr>
              <w:pStyle w:val="Default"/>
              <w:rPr>
                <w:b/>
              </w:rPr>
            </w:pPr>
            <w:r w:rsidRPr="008F37F6">
              <w:rPr>
                <w:b/>
                <w:bCs/>
              </w:rPr>
              <w:t>%</w:t>
            </w:r>
          </w:p>
        </w:tc>
        <w:tc>
          <w:tcPr>
            <w:tcW w:w="972" w:type="pct"/>
            <w:shd w:val="clear" w:color="auto" w:fill="auto"/>
            <w:tcMar>
              <w:top w:w="15" w:type="dxa"/>
              <w:left w:w="15" w:type="dxa"/>
              <w:bottom w:w="0" w:type="dxa"/>
              <w:right w:w="15" w:type="dxa"/>
            </w:tcMar>
            <w:vAlign w:val="center"/>
            <w:hideMark/>
          </w:tcPr>
          <w:p w:rsidR="00616E08" w:rsidRPr="00FB4A83" w:rsidRDefault="0076494B" w:rsidP="00A92922">
            <w:pPr>
              <w:pStyle w:val="Default"/>
              <w:jc w:val="center"/>
              <w:rPr>
                <w:b/>
              </w:rPr>
            </w:pPr>
          </w:p>
        </w:tc>
        <w:tc>
          <w:tcPr>
            <w:tcW w:w="590" w:type="pct"/>
            <w:shd w:val="clear" w:color="auto" w:fill="auto"/>
            <w:tcMar>
              <w:top w:w="15" w:type="dxa"/>
              <w:left w:w="15" w:type="dxa"/>
              <w:bottom w:w="0" w:type="dxa"/>
              <w:right w:w="15" w:type="dxa"/>
            </w:tcMar>
            <w:vAlign w:val="center"/>
            <w:hideMark/>
          </w:tcPr>
          <w:p w:rsidR="00616E08" w:rsidRPr="00FB4A83" w:rsidRDefault="0076494B" w:rsidP="00A92922">
            <w:pPr>
              <w:pStyle w:val="Default"/>
              <w:jc w:val="center"/>
              <w:rPr>
                <w:b/>
              </w:rPr>
            </w:pPr>
            <w:r w:rsidRPr="00FB4A83">
              <w:rPr>
                <w:b/>
              </w:rPr>
              <w:t>48.9%</w:t>
            </w:r>
          </w:p>
        </w:tc>
        <w:tc>
          <w:tcPr>
            <w:tcW w:w="508" w:type="pct"/>
            <w:shd w:val="clear" w:color="auto" w:fill="auto"/>
            <w:tcMar>
              <w:top w:w="15" w:type="dxa"/>
              <w:left w:w="15" w:type="dxa"/>
              <w:bottom w:w="0" w:type="dxa"/>
              <w:right w:w="15" w:type="dxa"/>
            </w:tcMar>
            <w:vAlign w:val="center"/>
            <w:hideMark/>
          </w:tcPr>
          <w:p w:rsidR="00616E08" w:rsidRPr="00FB4A83" w:rsidRDefault="0076494B" w:rsidP="00A92922">
            <w:pPr>
              <w:pStyle w:val="Default"/>
              <w:jc w:val="center"/>
              <w:rPr>
                <w:b/>
              </w:rPr>
            </w:pPr>
            <w:r w:rsidRPr="00FB4A83">
              <w:rPr>
                <w:b/>
              </w:rPr>
              <w:t>34.4%</w:t>
            </w:r>
          </w:p>
        </w:tc>
        <w:tc>
          <w:tcPr>
            <w:tcW w:w="598" w:type="pct"/>
            <w:shd w:val="clear" w:color="auto" w:fill="auto"/>
            <w:tcMar>
              <w:top w:w="15" w:type="dxa"/>
              <w:left w:w="15" w:type="dxa"/>
              <w:bottom w:w="0" w:type="dxa"/>
              <w:right w:w="15" w:type="dxa"/>
            </w:tcMar>
            <w:vAlign w:val="center"/>
            <w:hideMark/>
          </w:tcPr>
          <w:p w:rsidR="00616E08" w:rsidRPr="00FB4A83" w:rsidRDefault="0076494B" w:rsidP="00A92922">
            <w:pPr>
              <w:pStyle w:val="Default"/>
              <w:jc w:val="center"/>
              <w:rPr>
                <w:b/>
              </w:rPr>
            </w:pPr>
            <w:r w:rsidRPr="00FB4A83">
              <w:rPr>
                <w:b/>
              </w:rPr>
              <w:t>16.7%</w:t>
            </w:r>
          </w:p>
        </w:tc>
      </w:tr>
    </w:tbl>
    <w:p w:rsidR="00616E08" w:rsidRDefault="0076494B" w:rsidP="00616E08">
      <w:pPr>
        <w:pStyle w:val="Default"/>
        <w:rPr>
          <w:b/>
        </w:rPr>
      </w:pPr>
    </w:p>
    <w:p w:rsidR="00616E08" w:rsidRDefault="0076494B" w:rsidP="00616E08">
      <w:pPr>
        <w:pStyle w:val="Default"/>
        <w:rPr>
          <w:b/>
        </w:rPr>
      </w:pPr>
      <w:r w:rsidRPr="008F37F6">
        <w:rPr>
          <w:b/>
        </w:rPr>
        <w:t>Q1 Comments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36"/>
      </w:tblGrid>
      <w:tr w:rsidR="00FF1399" w:rsidTr="00A92922">
        <w:trPr>
          <w:trHeight w:val="20"/>
        </w:trPr>
        <w:tc>
          <w:tcPr>
            <w:tcW w:w="5000" w:type="pct"/>
            <w:shd w:val="clear" w:color="auto" w:fill="auto"/>
            <w:tcMar>
              <w:top w:w="15" w:type="dxa"/>
              <w:left w:w="108" w:type="dxa"/>
              <w:bottom w:w="0" w:type="dxa"/>
              <w:right w:w="108" w:type="dxa"/>
            </w:tcMar>
            <w:vAlign w:val="bottom"/>
            <w:hideMark/>
          </w:tcPr>
          <w:p w:rsidR="00616E08" w:rsidRPr="008F37F6" w:rsidRDefault="0076494B" w:rsidP="00A92922">
            <w:pPr>
              <w:pStyle w:val="Default"/>
              <w:jc w:val="both"/>
            </w:pPr>
            <w:r w:rsidRPr="008F37F6">
              <w:t>This is a big reduction from £4.48 for 17/18. That's a loss of £468 per 3/4 yr old child for academic year 17/18....not enough to staff my Nursery Class.</w:t>
            </w:r>
          </w:p>
        </w:tc>
      </w:tr>
      <w:tr w:rsidR="00FF1399" w:rsidTr="00A92922">
        <w:trPr>
          <w:trHeight w:val="20"/>
        </w:trPr>
        <w:tc>
          <w:tcPr>
            <w:tcW w:w="5000" w:type="pct"/>
            <w:shd w:val="clear" w:color="auto" w:fill="auto"/>
            <w:tcMar>
              <w:top w:w="15" w:type="dxa"/>
              <w:left w:w="108" w:type="dxa"/>
              <w:bottom w:w="0" w:type="dxa"/>
              <w:right w:w="108" w:type="dxa"/>
            </w:tcMar>
            <w:vAlign w:val="bottom"/>
            <w:hideMark/>
          </w:tcPr>
          <w:p w:rsidR="00616E08" w:rsidRPr="008F37F6" w:rsidRDefault="0076494B" w:rsidP="00A92922">
            <w:pPr>
              <w:pStyle w:val="Default"/>
              <w:jc w:val="both"/>
            </w:pPr>
            <w:r w:rsidRPr="008F37F6">
              <w:t>everyone should receive the same rate including maintained nursery schools</w:t>
            </w:r>
          </w:p>
        </w:tc>
      </w:tr>
      <w:tr w:rsidR="00FF1399" w:rsidTr="00A92922">
        <w:trPr>
          <w:trHeight w:val="20"/>
        </w:trPr>
        <w:tc>
          <w:tcPr>
            <w:tcW w:w="5000" w:type="pct"/>
            <w:shd w:val="clear" w:color="auto" w:fill="auto"/>
            <w:tcMar>
              <w:top w:w="15" w:type="dxa"/>
              <w:left w:w="108" w:type="dxa"/>
              <w:bottom w:w="0" w:type="dxa"/>
              <w:right w:w="108" w:type="dxa"/>
            </w:tcMar>
            <w:vAlign w:val="bottom"/>
            <w:hideMark/>
          </w:tcPr>
          <w:p w:rsidR="00616E08" w:rsidRPr="008F37F6" w:rsidRDefault="0076494B" w:rsidP="00A92922">
            <w:pPr>
              <w:pStyle w:val="Default"/>
              <w:jc w:val="both"/>
            </w:pPr>
            <w:r w:rsidRPr="008F37F6">
              <w:t>A transitional funding rate was applied in 2017/18 to 'soften' the blow for certain providers - but at the detriment to PVI who ARE NOT been treated equally. The funding rate therefore should now be the same moving forward for ALL providers; as it is for t</w:t>
            </w:r>
            <w:r w:rsidRPr="008F37F6">
              <w:t>he vast majority of other local authorities. By continuing a 'two tier' system children within PVI &amp; its providers are being disadvantaged and sustainability is being put at risk</w:t>
            </w:r>
          </w:p>
        </w:tc>
      </w:tr>
      <w:tr w:rsidR="00FF1399" w:rsidTr="00A92922">
        <w:trPr>
          <w:trHeight w:val="20"/>
        </w:trPr>
        <w:tc>
          <w:tcPr>
            <w:tcW w:w="5000" w:type="pct"/>
            <w:shd w:val="clear" w:color="auto" w:fill="auto"/>
            <w:tcMar>
              <w:top w:w="15" w:type="dxa"/>
              <w:left w:w="108" w:type="dxa"/>
              <w:bottom w:w="0" w:type="dxa"/>
              <w:right w:w="108" w:type="dxa"/>
            </w:tcMar>
            <w:vAlign w:val="bottom"/>
            <w:hideMark/>
          </w:tcPr>
          <w:p w:rsidR="00616E08" w:rsidRPr="008F37F6" w:rsidRDefault="0076494B" w:rsidP="00A92922">
            <w:pPr>
              <w:pStyle w:val="Default"/>
              <w:jc w:val="both"/>
            </w:pPr>
            <w:r w:rsidRPr="008F37F6">
              <w:t>This is not a sufficient increase compared to business costs increases in 20</w:t>
            </w:r>
            <w:r w:rsidRPr="008F37F6">
              <w:t>18/2019</w:t>
            </w:r>
          </w:p>
        </w:tc>
      </w:tr>
      <w:tr w:rsidR="00FF1399" w:rsidTr="00A92922">
        <w:trPr>
          <w:trHeight w:val="20"/>
        </w:trPr>
        <w:tc>
          <w:tcPr>
            <w:tcW w:w="5000" w:type="pct"/>
            <w:shd w:val="clear" w:color="auto" w:fill="auto"/>
            <w:tcMar>
              <w:top w:w="15" w:type="dxa"/>
              <w:left w:w="108" w:type="dxa"/>
              <w:bottom w:w="0" w:type="dxa"/>
              <w:right w:w="108" w:type="dxa"/>
            </w:tcMar>
            <w:vAlign w:val="bottom"/>
            <w:hideMark/>
          </w:tcPr>
          <w:p w:rsidR="00616E08" w:rsidRPr="008F37F6" w:rsidRDefault="0076494B" w:rsidP="00A92922">
            <w:pPr>
              <w:pStyle w:val="Default"/>
              <w:jc w:val="both"/>
            </w:pPr>
            <w:r w:rsidRPr="008F37F6">
              <w:t xml:space="preserve">That's is less than we are paid privately </w:t>
            </w:r>
          </w:p>
        </w:tc>
      </w:tr>
      <w:tr w:rsidR="00FF1399" w:rsidTr="00A92922">
        <w:trPr>
          <w:trHeight w:val="20"/>
        </w:trPr>
        <w:tc>
          <w:tcPr>
            <w:tcW w:w="5000" w:type="pct"/>
            <w:shd w:val="clear" w:color="auto" w:fill="auto"/>
            <w:tcMar>
              <w:top w:w="15" w:type="dxa"/>
              <w:left w:w="108" w:type="dxa"/>
              <w:bottom w:w="0" w:type="dxa"/>
              <w:right w:w="108" w:type="dxa"/>
            </w:tcMar>
            <w:vAlign w:val="bottom"/>
            <w:hideMark/>
          </w:tcPr>
          <w:p w:rsidR="00616E08" w:rsidRPr="008F37F6" w:rsidRDefault="0076494B" w:rsidP="00A92922">
            <w:pPr>
              <w:pStyle w:val="Default"/>
              <w:jc w:val="both"/>
            </w:pPr>
            <w:r w:rsidRPr="008F37F6">
              <w:t>Remove the transition payments and increase base rate for all providers</w:t>
            </w:r>
          </w:p>
        </w:tc>
      </w:tr>
      <w:tr w:rsidR="00FF1399" w:rsidTr="00A92922">
        <w:trPr>
          <w:trHeight w:val="20"/>
        </w:trPr>
        <w:tc>
          <w:tcPr>
            <w:tcW w:w="5000" w:type="pct"/>
            <w:shd w:val="clear" w:color="auto" w:fill="auto"/>
            <w:tcMar>
              <w:top w:w="15" w:type="dxa"/>
              <w:left w:w="108" w:type="dxa"/>
              <w:bottom w:w="0" w:type="dxa"/>
              <w:right w:w="108" w:type="dxa"/>
            </w:tcMar>
            <w:vAlign w:val="bottom"/>
            <w:hideMark/>
          </w:tcPr>
          <w:p w:rsidR="00616E08" w:rsidRPr="008F37F6" w:rsidRDefault="0076494B" w:rsidP="00A92922">
            <w:pPr>
              <w:pStyle w:val="Default"/>
              <w:jc w:val="both"/>
            </w:pPr>
            <w:r w:rsidRPr="008F37F6">
              <w:t>I think it should be more gradual.</w:t>
            </w:r>
          </w:p>
        </w:tc>
      </w:tr>
      <w:tr w:rsidR="00FF1399" w:rsidTr="00A92922">
        <w:trPr>
          <w:trHeight w:val="20"/>
        </w:trPr>
        <w:tc>
          <w:tcPr>
            <w:tcW w:w="5000" w:type="pct"/>
            <w:shd w:val="clear" w:color="auto" w:fill="auto"/>
            <w:tcMar>
              <w:top w:w="15" w:type="dxa"/>
              <w:left w:w="108" w:type="dxa"/>
              <w:bottom w:w="0" w:type="dxa"/>
              <w:right w:w="108" w:type="dxa"/>
            </w:tcMar>
            <w:vAlign w:val="bottom"/>
            <w:hideMark/>
          </w:tcPr>
          <w:p w:rsidR="00616E08" w:rsidRPr="008F37F6" w:rsidRDefault="0076494B" w:rsidP="00A92922">
            <w:pPr>
              <w:pStyle w:val="Default"/>
              <w:jc w:val="both"/>
            </w:pPr>
            <w:r w:rsidRPr="008F37F6">
              <w:t>Base Rate isn't sufficient for sustainability</w:t>
            </w:r>
          </w:p>
        </w:tc>
      </w:tr>
      <w:tr w:rsidR="00FF1399" w:rsidTr="00A92922">
        <w:trPr>
          <w:trHeight w:val="20"/>
        </w:trPr>
        <w:tc>
          <w:tcPr>
            <w:tcW w:w="5000" w:type="pct"/>
            <w:shd w:val="clear" w:color="auto" w:fill="auto"/>
            <w:tcMar>
              <w:top w:w="15" w:type="dxa"/>
              <w:left w:w="108" w:type="dxa"/>
              <w:bottom w:w="0" w:type="dxa"/>
              <w:right w:w="108" w:type="dxa"/>
            </w:tcMar>
            <w:vAlign w:val="bottom"/>
            <w:hideMark/>
          </w:tcPr>
          <w:p w:rsidR="00616E08" w:rsidRPr="008F37F6" w:rsidRDefault="0076494B" w:rsidP="00A92922">
            <w:pPr>
              <w:pStyle w:val="Default"/>
              <w:jc w:val="both"/>
            </w:pPr>
            <w:r w:rsidRPr="008F37F6">
              <w:t>I feel that a universal base rate is the correct way to go with EYNFF however I think that settings shouldn't be receiving anything less than they already receive (and in future it should rise in line with inflation) whilst the parents whose children are b</w:t>
            </w:r>
            <w:r w:rsidRPr="008F37F6">
              <w:t>eing looked after by the settings will be considerably better off.</w:t>
            </w:r>
          </w:p>
        </w:tc>
      </w:tr>
      <w:tr w:rsidR="00FF1399" w:rsidTr="00A92922">
        <w:trPr>
          <w:trHeight w:val="139"/>
        </w:trPr>
        <w:tc>
          <w:tcPr>
            <w:tcW w:w="5000" w:type="pct"/>
            <w:shd w:val="clear" w:color="auto" w:fill="auto"/>
            <w:tcMar>
              <w:top w:w="15" w:type="dxa"/>
              <w:left w:w="108" w:type="dxa"/>
              <w:bottom w:w="0" w:type="dxa"/>
              <w:right w:w="108" w:type="dxa"/>
            </w:tcMar>
            <w:vAlign w:val="bottom"/>
            <w:hideMark/>
          </w:tcPr>
          <w:p w:rsidR="00616E08" w:rsidRPr="008F37F6" w:rsidRDefault="0076494B" w:rsidP="00A92922">
            <w:pPr>
              <w:pStyle w:val="Default"/>
              <w:jc w:val="both"/>
            </w:pPr>
            <w:r w:rsidRPr="008F37F6">
              <w:t>More hassle for less money not fair. £4.05 under18 min pay, you are not paying the children you are paying for our services and I'm much older than 18</w:t>
            </w:r>
          </w:p>
          <w:p w:rsidR="00616E08" w:rsidRPr="008F37F6" w:rsidRDefault="0076494B" w:rsidP="00A92922">
            <w:pPr>
              <w:pStyle w:val="Default"/>
              <w:jc w:val="both"/>
            </w:pPr>
            <w:r w:rsidRPr="008F37F6">
              <w:rPr>
                <w:lang w:val="en-US"/>
              </w:rPr>
              <w:lastRenderedPageBreak/>
              <w:t>Do not believe the base rate level is</w:t>
            </w:r>
            <w:r w:rsidRPr="008F37F6">
              <w:rPr>
                <w:lang w:val="en-US"/>
              </w:rPr>
              <w:t xml:space="preserve"> sufficient to meet staffing and pay requirements at current levels.</w:t>
            </w:r>
          </w:p>
        </w:tc>
      </w:tr>
      <w:tr w:rsidR="00FF1399" w:rsidTr="00A92922">
        <w:trPr>
          <w:trHeight w:val="139"/>
        </w:trPr>
        <w:tc>
          <w:tcPr>
            <w:tcW w:w="5000" w:type="pct"/>
            <w:shd w:val="clear" w:color="auto" w:fill="auto"/>
            <w:tcMar>
              <w:top w:w="15" w:type="dxa"/>
              <w:left w:w="108" w:type="dxa"/>
              <w:bottom w:w="0" w:type="dxa"/>
              <w:right w:w="108" w:type="dxa"/>
            </w:tcMar>
            <w:vAlign w:val="bottom"/>
            <w:hideMark/>
          </w:tcPr>
          <w:p w:rsidR="00616E08" w:rsidRPr="00F81363" w:rsidRDefault="0076494B" w:rsidP="00A92922">
            <w:pPr>
              <w:pStyle w:val="Default"/>
              <w:jc w:val="both"/>
              <w:rPr>
                <w:lang w:val="en-US"/>
              </w:rPr>
            </w:pPr>
            <w:r w:rsidRPr="00F81363">
              <w:rPr>
                <w:lang w:val="en-US"/>
              </w:rPr>
              <w:lastRenderedPageBreak/>
              <w:t>Unfair to childminders as we do not have as many children and after providing the provision we won't even be earning the minimum wage</w:t>
            </w:r>
          </w:p>
        </w:tc>
      </w:tr>
      <w:tr w:rsidR="00FF1399" w:rsidTr="00A92922">
        <w:trPr>
          <w:trHeight w:val="139"/>
        </w:trPr>
        <w:tc>
          <w:tcPr>
            <w:tcW w:w="5000" w:type="pct"/>
            <w:shd w:val="clear" w:color="auto" w:fill="auto"/>
            <w:tcMar>
              <w:top w:w="15" w:type="dxa"/>
              <w:left w:w="108" w:type="dxa"/>
              <w:bottom w:w="0" w:type="dxa"/>
              <w:right w:w="108" w:type="dxa"/>
            </w:tcMar>
            <w:vAlign w:val="bottom"/>
            <w:hideMark/>
          </w:tcPr>
          <w:p w:rsidR="00616E08" w:rsidRPr="00F81363" w:rsidRDefault="0076494B" w:rsidP="00A92922">
            <w:pPr>
              <w:pStyle w:val="Default"/>
              <w:jc w:val="both"/>
              <w:rPr>
                <w:lang w:val="en-US"/>
              </w:rPr>
            </w:pPr>
            <w:r w:rsidRPr="00F81363">
              <w:rPr>
                <w:lang w:val="en-US"/>
              </w:rPr>
              <w:t xml:space="preserve">This is not sustainable long term. </w:t>
            </w:r>
          </w:p>
        </w:tc>
      </w:tr>
      <w:tr w:rsidR="00FF1399" w:rsidTr="00A92922">
        <w:trPr>
          <w:trHeight w:val="139"/>
        </w:trPr>
        <w:tc>
          <w:tcPr>
            <w:tcW w:w="5000" w:type="pct"/>
            <w:shd w:val="clear" w:color="auto" w:fill="auto"/>
            <w:tcMar>
              <w:top w:w="15" w:type="dxa"/>
              <w:left w:w="108" w:type="dxa"/>
              <w:bottom w:w="0" w:type="dxa"/>
              <w:right w:w="108" w:type="dxa"/>
            </w:tcMar>
            <w:vAlign w:val="bottom"/>
            <w:hideMark/>
          </w:tcPr>
          <w:p w:rsidR="00616E08" w:rsidRPr="00F81363" w:rsidRDefault="0076494B" w:rsidP="00A92922">
            <w:pPr>
              <w:pStyle w:val="Default"/>
              <w:jc w:val="both"/>
              <w:rPr>
                <w:lang w:val="en-US"/>
              </w:rPr>
            </w:pPr>
            <w:r w:rsidRPr="00F81363">
              <w:rPr>
                <w:lang w:val="en-US"/>
              </w:rPr>
              <w:t>Nursery School</w:t>
            </w:r>
            <w:r w:rsidRPr="00F81363">
              <w:rPr>
                <w:lang w:val="en-US"/>
              </w:rPr>
              <w:t xml:space="preserve">s need additional transitional funding to provide protection in light of the additional costs they incur due to statutory requirements. </w:t>
            </w:r>
          </w:p>
        </w:tc>
      </w:tr>
      <w:tr w:rsidR="00FF1399" w:rsidTr="00A92922">
        <w:trPr>
          <w:trHeight w:val="139"/>
        </w:trPr>
        <w:tc>
          <w:tcPr>
            <w:tcW w:w="5000" w:type="pct"/>
            <w:shd w:val="clear" w:color="auto" w:fill="auto"/>
            <w:tcMar>
              <w:top w:w="15" w:type="dxa"/>
              <w:left w:w="108" w:type="dxa"/>
              <w:bottom w:w="0" w:type="dxa"/>
              <w:right w:w="108" w:type="dxa"/>
            </w:tcMar>
            <w:vAlign w:val="bottom"/>
            <w:hideMark/>
          </w:tcPr>
          <w:p w:rsidR="00616E08" w:rsidRPr="00F81363" w:rsidRDefault="0076494B" w:rsidP="00A92922">
            <w:pPr>
              <w:pStyle w:val="Default"/>
              <w:jc w:val="both"/>
              <w:rPr>
                <w:lang w:val="en-US"/>
              </w:rPr>
            </w:pPr>
            <w:r w:rsidRPr="00F81363">
              <w:rPr>
                <w:lang w:val="en-US"/>
              </w:rPr>
              <w:t xml:space="preserve">Without transition Funding we will not survive as a Nursery School. </w:t>
            </w:r>
          </w:p>
        </w:tc>
      </w:tr>
      <w:tr w:rsidR="00FF1399" w:rsidTr="00A92922">
        <w:trPr>
          <w:trHeight w:val="139"/>
        </w:trPr>
        <w:tc>
          <w:tcPr>
            <w:tcW w:w="5000" w:type="pct"/>
            <w:shd w:val="clear" w:color="auto" w:fill="auto"/>
            <w:tcMar>
              <w:top w:w="15" w:type="dxa"/>
              <w:left w:w="108" w:type="dxa"/>
              <w:bottom w:w="0" w:type="dxa"/>
              <w:right w:w="108" w:type="dxa"/>
            </w:tcMar>
            <w:vAlign w:val="bottom"/>
            <w:hideMark/>
          </w:tcPr>
          <w:p w:rsidR="00616E08" w:rsidRPr="00F81363" w:rsidRDefault="0076494B" w:rsidP="00A92922">
            <w:pPr>
              <w:pStyle w:val="Default"/>
              <w:jc w:val="both"/>
              <w:rPr>
                <w:lang w:val="en-US"/>
              </w:rPr>
            </w:pPr>
            <w:r w:rsidRPr="00F81363">
              <w:rPr>
                <w:lang w:val="en-US"/>
              </w:rPr>
              <w:t>30 hours 'free' childcare for parents potentiall</w:t>
            </w:r>
            <w:r w:rsidRPr="00F81363">
              <w:rPr>
                <w:lang w:val="en-US"/>
              </w:rPr>
              <w:t>y earning up to £200.000. Last year after expenses &amp; before tax I earned £16.000. I cannot charge parents for consumables etc as they provide their own. I pay for activities so that no child is excluded because a parent won't pay. As some children only com</w:t>
            </w:r>
            <w:r w:rsidRPr="00F81363">
              <w:rPr>
                <w:lang w:val="en-US"/>
              </w:rPr>
              <w:t>e for one day and attend nursery too I cannot charge more for extra hours so would OPT OUT when the base rate is too close to my fee reducing options for parents &amp; reducing 'free' places available.</w:t>
            </w:r>
          </w:p>
        </w:tc>
      </w:tr>
      <w:tr w:rsidR="00FF1399" w:rsidTr="00A92922">
        <w:trPr>
          <w:trHeight w:val="139"/>
        </w:trPr>
        <w:tc>
          <w:tcPr>
            <w:tcW w:w="5000" w:type="pct"/>
            <w:shd w:val="clear" w:color="auto" w:fill="auto"/>
            <w:tcMar>
              <w:top w:w="15" w:type="dxa"/>
              <w:left w:w="108" w:type="dxa"/>
              <w:bottom w:w="0" w:type="dxa"/>
              <w:right w:w="108" w:type="dxa"/>
            </w:tcMar>
            <w:vAlign w:val="bottom"/>
            <w:hideMark/>
          </w:tcPr>
          <w:p w:rsidR="00616E08" w:rsidRPr="00F81363" w:rsidRDefault="0076494B" w:rsidP="00A92922">
            <w:pPr>
              <w:pStyle w:val="Default"/>
              <w:jc w:val="both"/>
              <w:rPr>
                <w:lang w:val="en-US"/>
              </w:rPr>
            </w:pPr>
            <w:r w:rsidRPr="00F81363">
              <w:rPr>
                <w:lang w:val="en-US"/>
              </w:rPr>
              <w:t xml:space="preserve">Transitional Funding will be essential for the financial </w:t>
            </w:r>
            <w:r w:rsidRPr="00F81363">
              <w:rPr>
                <w:lang w:val="en-US"/>
              </w:rPr>
              <w:t>health of our school. We are already a school in difficulty and at risk.</w:t>
            </w:r>
          </w:p>
        </w:tc>
      </w:tr>
      <w:tr w:rsidR="00FF1399" w:rsidTr="00A92922">
        <w:trPr>
          <w:trHeight w:val="139"/>
        </w:trPr>
        <w:tc>
          <w:tcPr>
            <w:tcW w:w="5000" w:type="pct"/>
            <w:shd w:val="clear" w:color="auto" w:fill="auto"/>
            <w:tcMar>
              <w:top w:w="15" w:type="dxa"/>
              <w:left w:w="108" w:type="dxa"/>
              <w:bottom w:w="0" w:type="dxa"/>
              <w:right w:w="108" w:type="dxa"/>
            </w:tcMar>
            <w:vAlign w:val="bottom"/>
            <w:hideMark/>
          </w:tcPr>
          <w:p w:rsidR="00616E08" w:rsidRPr="00F81363" w:rsidRDefault="0076494B" w:rsidP="00A92922">
            <w:pPr>
              <w:pStyle w:val="Default"/>
              <w:jc w:val="both"/>
              <w:rPr>
                <w:lang w:val="en-US"/>
              </w:rPr>
            </w:pPr>
            <w:r w:rsidRPr="00F81363">
              <w:rPr>
                <w:lang w:val="en-US"/>
              </w:rPr>
              <w:t>Why is the transitional amount different for Lancashire schools?</w:t>
            </w:r>
          </w:p>
        </w:tc>
      </w:tr>
      <w:tr w:rsidR="00FF1399" w:rsidTr="00A92922">
        <w:trPr>
          <w:trHeight w:val="139"/>
        </w:trPr>
        <w:tc>
          <w:tcPr>
            <w:tcW w:w="5000" w:type="pct"/>
            <w:shd w:val="clear" w:color="auto" w:fill="auto"/>
            <w:tcMar>
              <w:top w:w="15" w:type="dxa"/>
              <w:left w:w="108" w:type="dxa"/>
              <w:bottom w:w="0" w:type="dxa"/>
              <w:right w:w="108" w:type="dxa"/>
            </w:tcMar>
            <w:vAlign w:val="bottom"/>
            <w:hideMark/>
          </w:tcPr>
          <w:p w:rsidR="00616E08" w:rsidRPr="00F81363" w:rsidRDefault="0076494B" w:rsidP="00A92922">
            <w:pPr>
              <w:pStyle w:val="Default"/>
              <w:jc w:val="both"/>
              <w:rPr>
                <w:lang w:val="en-US"/>
              </w:rPr>
            </w:pPr>
            <w:r w:rsidRPr="00F81363">
              <w:rPr>
                <w:lang w:val="en-US"/>
              </w:rPr>
              <w:t>I do not fully understand any of the funding as I have never had a child on it yet. I think if you cannot make it to</w:t>
            </w:r>
            <w:r w:rsidRPr="00F81363">
              <w:rPr>
                <w:lang w:val="en-US"/>
              </w:rPr>
              <w:t xml:space="preserve"> a meeting then straight forward leaflets/booklets should be provided</w:t>
            </w:r>
          </w:p>
        </w:tc>
      </w:tr>
      <w:tr w:rsidR="00FF1399" w:rsidTr="00A92922">
        <w:trPr>
          <w:trHeight w:val="139"/>
        </w:trPr>
        <w:tc>
          <w:tcPr>
            <w:tcW w:w="5000" w:type="pct"/>
            <w:shd w:val="clear" w:color="auto" w:fill="auto"/>
            <w:tcMar>
              <w:top w:w="15" w:type="dxa"/>
              <w:left w:w="108" w:type="dxa"/>
              <w:bottom w:w="0" w:type="dxa"/>
              <w:right w:w="108" w:type="dxa"/>
            </w:tcMar>
            <w:vAlign w:val="bottom"/>
            <w:hideMark/>
          </w:tcPr>
          <w:p w:rsidR="00616E08" w:rsidRPr="00F81363" w:rsidRDefault="0076494B" w:rsidP="00A92922">
            <w:pPr>
              <w:pStyle w:val="Default"/>
              <w:jc w:val="both"/>
              <w:rPr>
                <w:lang w:val="en-US"/>
              </w:rPr>
            </w:pPr>
            <w:r w:rsidRPr="00F81363">
              <w:rPr>
                <w:lang w:val="en-US"/>
              </w:rPr>
              <w:t>The move to a universal base rate should be undertaken as soon as possible without any transitional funding arrangements.</w:t>
            </w:r>
          </w:p>
        </w:tc>
      </w:tr>
      <w:tr w:rsidR="00FF1399" w:rsidTr="00A92922">
        <w:trPr>
          <w:trHeight w:val="139"/>
        </w:trPr>
        <w:tc>
          <w:tcPr>
            <w:tcW w:w="5000" w:type="pct"/>
            <w:shd w:val="clear" w:color="auto" w:fill="auto"/>
            <w:tcMar>
              <w:top w:w="15" w:type="dxa"/>
              <w:left w:w="108" w:type="dxa"/>
              <w:bottom w:w="0" w:type="dxa"/>
              <w:right w:w="108" w:type="dxa"/>
            </w:tcMar>
            <w:vAlign w:val="bottom"/>
            <w:hideMark/>
          </w:tcPr>
          <w:p w:rsidR="00616E08" w:rsidRPr="00F81363" w:rsidRDefault="0076494B" w:rsidP="00A92922">
            <w:pPr>
              <w:pStyle w:val="Default"/>
              <w:jc w:val="both"/>
              <w:rPr>
                <w:lang w:val="en-US"/>
              </w:rPr>
            </w:pPr>
            <w:r w:rsidRPr="00F81363">
              <w:rPr>
                <w:lang w:val="en-US"/>
              </w:rPr>
              <w:t>I believe in a level playing field for all sectors (x4)</w:t>
            </w:r>
          </w:p>
        </w:tc>
      </w:tr>
      <w:tr w:rsidR="00FF1399" w:rsidTr="00A92922">
        <w:trPr>
          <w:trHeight w:val="139"/>
        </w:trPr>
        <w:tc>
          <w:tcPr>
            <w:tcW w:w="5000" w:type="pct"/>
            <w:shd w:val="clear" w:color="auto" w:fill="auto"/>
            <w:tcMar>
              <w:top w:w="15" w:type="dxa"/>
              <w:left w:w="108" w:type="dxa"/>
              <w:bottom w:w="0" w:type="dxa"/>
              <w:right w:w="108" w:type="dxa"/>
            </w:tcMar>
            <w:vAlign w:val="bottom"/>
            <w:hideMark/>
          </w:tcPr>
          <w:p w:rsidR="00616E08" w:rsidRPr="00F81363" w:rsidRDefault="0076494B" w:rsidP="00A92922">
            <w:pPr>
              <w:pStyle w:val="Default"/>
              <w:jc w:val="both"/>
              <w:rPr>
                <w:lang w:val="en-US"/>
              </w:rPr>
            </w:pPr>
            <w:r w:rsidRPr="00F81363">
              <w:rPr>
                <w:lang w:val="en-US"/>
              </w:rPr>
              <w:t>I bel</w:t>
            </w:r>
            <w:r w:rsidRPr="00F81363">
              <w:rPr>
                <w:lang w:val="en-US"/>
              </w:rPr>
              <w:t xml:space="preserve">ieve in a level playing field for all sectors - especially with having the majority of rising threes poached from this setting by the maintained sector. How is the maintained sector covering the cost of the education of rising threes? </w:t>
            </w:r>
          </w:p>
        </w:tc>
      </w:tr>
      <w:tr w:rsidR="00FF1399" w:rsidTr="00A92922">
        <w:trPr>
          <w:trHeight w:val="139"/>
        </w:trPr>
        <w:tc>
          <w:tcPr>
            <w:tcW w:w="5000" w:type="pct"/>
            <w:shd w:val="clear" w:color="auto" w:fill="auto"/>
            <w:tcMar>
              <w:top w:w="15" w:type="dxa"/>
              <w:left w:w="108" w:type="dxa"/>
              <w:bottom w:w="0" w:type="dxa"/>
              <w:right w:w="108" w:type="dxa"/>
            </w:tcMar>
            <w:vAlign w:val="bottom"/>
            <w:hideMark/>
          </w:tcPr>
          <w:p w:rsidR="00616E08" w:rsidRPr="00F81363" w:rsidRDefault="0076494B" w:rsidP="00A92922">
            <w:pPr>
              <w:pStyle w:val="Default"/>
              <w:jc w:val="both"/>
              <w:rPr>
                <w:lang w:val="en-US"/>
              </w:rPr>
            </w:pPr>
            <w:r w:rsidRPr="00F81363">
              <w:rPr>
                <w:lang w:val="en-US"/>
              </w:rPr>
              <w:t>Reduction in pay fo</w:t>
            </w:r>
            <w:r w:rsidRPr="00F81363">
              <w:rPr>
                <w:lang w:val="en-US"/>
              </w:rPr>
              <w:t>r childminders</w:t>
            </w:r>
          </w:p>
        </w:tc>
      </w:tr>
      <w:tr w:rsidR="00FF1399" w:rsidTr="00A92922">
        <w:trPr>
          <w:trHeight w:val="139"/>
        </w:trPr>
        <w:tc>
          <w:tcPr>
            <w:tcW w:w="5000" w:type="pct"/>
            <w:shd w:val="clear" w:color="auto" w:fill="auto"/>
            <w:tcMar>
              <w:top w:w="15" w:type="dxa"/>
              <w:left w:w="108" w:type="dxa"/>
              <w:bottom w:w="0" w:type="dxa"/>
              <w:right w:w="108" w:type="dxa"/>
            </w:tcMar>
            <w:vAlign w:val="bottom"/>
            <w:hideMark/>
          </w:tcPr>
          <w:p w:rsidR="00616E08" w:rsidRPr="00F81363" w:rsidRDefault="0076494B" w:rsidP="00A92922">
            <w:pPr>
              <w:pStyle w:val="Default"/>
              <w:jc w:val="both"/>
              <w:rPr>
                <w:lang w:val="en-US"/>
              </w:rPr>
            </w:pPr>
            <w:r w:rsidRPr="00F81363">
              <w:rPr>
                <w:lang w:val="en-US"/>
              </w:rPr>
              <w:t>I disagree with the principle of a universal base rate especially for school based early education. However Transitional funding will be important and this will need to be thought about in detail if and when the ring fenced NS additional fu</w:t>
            </w:r>
            <w:r w:rsidRPr="00F81363">
              <w:rPr>
                <w:lang w:val="en-US"/>
              </w:rPr>
              <w:t xml:space="preserve">nding ceases </w:t>
            </w:r>
          </w:p>
        </w:tc>
      </w:tr>
      <w:tr w:rsidR="00FF1399" w:rsidTr="00A92922">
        <w:trPr>
          <w:trHeight w:val="139"/>
        </w:trPr>
        <w:tc>
          <w:tcPr>
            <w:tcW w:w="5000" w:type="pct"/>
            <w:shd w:val="clear" w:color="auto" w:fill="auto"/>
            <w:tcMar>
              <w:top w:w="15" w:type="dxa"/>
              <w:left w:w="108" w:type="dxa"/>
              <w:bottom w:w="0" w:type="dxa"/>
              <w:right w:w="108" w:type="dxa"/>
            </w:tcMar>
            <w:vAlign w:val="bottom"/>
            <w:hideMark/>
          </w:tcPr>
          <w:p w:rsidR="00616E08" w:rsidRPr="00F81363" w:rsidRDefault="0076494B" w:rsidP="00A92922">
            <w:pPr>
              <w:pStyle w:val="Default"/>
              <w:jc w:val="both"/>
              <w:rPr>
                <w:lang w:val="en-US"/>
              </w:rPr>
            </w:pPr>
            <w:r w:rsidRPr="00F81363">
              <w:rPr>
                <w:lang w:val="en-US"/>
              </w:rPr>
              <w:t>Once my expenses are taken out I'm left with less than minimum wage.</w:t>
            </w:r>
          </w:p>
        </w:tc>
      </w:tr>
      <w:tr w:rsidR="00FF1399" w:rsidTr="00A92922">
        <w:trPr>
          <w:trHeight w:val="139"/>
        </w:trPr>
        <w:tc>
          <w:tcPr>
            <w:tcW w:w="5000" w:type="pct"/>
            <w:shd w:val="clear" w:color="auto" w:fill="auto"/>
            <w:tcMar>
              <w:top w:w="15" w:type="dxa"/>
              <w:left w:w="108" w:type="dxa"/>
              <w:bottom w:w="0" w:type="dxa"/>
              <w:right w:w="108" w:type="dxa"/>
            </w:tcMar>
            <w:vAlign w:val="bottom"/>
          </w:tcPr>
          <w:p w:rsidR="00616E08" w:rsidRPr="00FF0193" w:rsidRDefault="0076494B" w:rsidP="00A92922">
            <w:pPr>
              <w:pStyle w:val="Default"/>
              <w:jc w:val="both"/>
              <w:rPr>
                <w:lang w:val="en-US"/>
              </w:rPr>
            </w:pPr>
            <w:r w:rsidRPr="00FF0193">
              <w:rPr>
                <w:lang w:val="en-US"/>
              </w:rPr>
              <w:t>Base rate unfair for private sector v childminder as greater overheads</w:t>
            </w:r>
          </w:p>
        </w:tc>
      </w:tr>
      <w:tr w:rsidR="00FF1399" w:rsidTr="00A92922">
        <w:trPr>
          <w:trHeight w:val="139"/>
        </w:trPr>
        <w:tc>
          <w:tcPr>
            <w:tcW w:w="5000" w:type="pct"/>
            <w:shd w:val="clear" w:color="auto" w:fill="auto"/>
            <w:tcMar>
              <w:top w:w="15" w:type="dxa"/>
              <w:left w:w="108" w:type="dxa"/>
              <w:bottom w:w="0" w:type="dxa"/>
              <w:right w:w="108" w:type="dxa"/>
            </w:tcMar>
            <w:vAlign w:val="bottom"/>
          </w:tcPr>
          <w:p w:rsidR="00616E08" w:rsidRPr="00FF0193" w:rsidRDefault="0076494B" w:rsidP="00A92922">
            <w:pPr>
              <w:pStyle w:val="Default"/>
              <w:jc w:val="both"/>
              <w:rPr>
                <w:lang w:val="en-US"/>
              </w:rPr>
            </w:pPr>
            <w:r w:rsidRPr="00FF0193">
              <w:rPr>
                <w:lang w:val="en-US"/>
              </w:rPr>
              <w:t>As a primary school we need to provide a teacher, but this is not covered by any funding - I do not</w:t>
            </w:r>
            <w:r w:rsidRPr="00FF0193">
              <w:rPr>
                <w:lang w:val="en-US"/>
              </w:rPr>
              <w:t xml:space="preserve"> feel this is fair.</w:t>
            </w:r>
          </w:p>
        </w:tc>
      </w:tr>
      <w:tr w:rsidR="00FF1399" w:rsidTr="00A92922">
        <w:trPr>
          <w:trHeight w:val="139"/>
        </w:trPr>
        <w:tc>
          <w:tcPr>
            <w:tcW w:w="5000" w:type="pct"/>
            <w:shd w:val="clear" w:color="auto" w:fill="auto"/>
            <w:tcMar>
              <w:top w:w="15" w:type="dxa"/>
              <w:left w:w="108" w:type="dxa"/>
              <w:bottom w:w="0" w:type="dxa"/>
              <w:right w:w="108" w:type="dxa"/>
            </w:tcMar>
            <w:vAlign w:val="bottom"/>
          </w:tcPr>
          <w:p w:rsidR="00616E08" w:rsidRPr="00FF0193" w:rsidRDefault="0076494B" w:rsidP="00A92922">
            <w:pPr>
              <w:pStyle w:val="Default"/>
              <w:jc w:val="both"/>
              <w:rPr>
                <w:lang w:val="en-US"/>
              </w:rPr>
            </w:pPr>
            <w:r w:rsidRPr="00FF0193">
              <w:rPr>
                <w:lang w:val="en-US"/>
              </w:rPr>
              <w:t>We think it is important to put in transition rates for providers moving from a higher hourly rate to the universal rate.  We think it is essential that the LA continues to put pressure on the DFE to properly fund all early years provi</w:t>
            </w:r>
            <w:r w:rsidRPr="00FF0193">
              <w:rPr>
                <w:lang w:val="en-US"/>
              </w:rPr>
              <w:t>sion, including the supplementary ring fenced maintained nursery school grant and an increase in the base rate for ALL providers so that funding meets the cost of delivering FEYE 3 and 4.</w:t>
            </w:r>
          </w:p>
        </w:tc>
      </w:tr>
      <w:tr w:rsidR="00FF1399" w:rsidTr="00A92922">
        <w:trPr>
          <w:trHeight w:val="139"/>
        </w:trPr>
        <w:tc>
          <w:tcPr>
            <w:tcW w:w="5000" w:type="pct"/>
            <w:shd w:val="clear" w:color="auto" w:fill="auto"/>
            <w:tcMar>
              <w:top w:w="15" w:type="dxa"/>
              <w:left w:w="108" w:type="dxa"/>
              <w:bottom w:w="0" w:type="dxa"/>
              <w:right w:w="108" w:type="dxa"/>
            </w:tcMar>
            <w:vAlign w:val="bottom"/>
          </w:tcPr>
          <w:p w:rsidR="00616E08" w:rsidRPr="00FF0193" w:rsidRDefault="0076494B" w:rsidP="00A92922">
            <w:pPr>
              <w:pStyle w:val="Default"/>
              <w:jc w:val="both"/>
              <w:rPr>
                <w:lang w:val="en-US"/>
              </w:rPr>
            </w:pPr>
            <w:r w:rsidRPr="00FF0193">
              <w:rPr>
                <w:lang w:val="en-US"/>
              </w:rPr>
              <w:t xml:space="preserve">Transitional funding is important for those settings moving from a </w:t>
            </w:r>
            <w:r w:rsidRPr="00FF0193">
              <w:rPr>
                <w:lang w:val="en-US"/>
              </w:rPr>
              <w:t>higher hourly rate to the universal rate. It is important for the DFE to fund all early years provision appropriately and increase the base rate for all providers so that funding meets the cost of delivery and ensures that settings are sustainable.</w:t>
            </w:r>
          </w:p>
        </w:tc>
      </w:tr>
    </w:tbl>
    <w:p w:rsidR="00616E08" w:rsidRDefault="0076494B" w:rsidP="00616E08">
      <w:pPr>
        <w:pStyle w:val="Default"/>
        <w:jc w:val="both"/>
        <w:rPr>
          <w:b/>
        </w:rPr>
      </w:pPr>
    </w:p>
    <w:p w:rsidR="00616E08" w:rsidRDefault="0076494B" w:rsidP="00616E08">
      <w:pPr>
        <w:pStyle w:val="Default"/>
        <w:jc w:val="both"/>
        <w:rPr>
          <w:b/>
        </w:rPr>
      </w:pPr>
    </w:p>
    <w:p w:rsidR="00616E08" w:rsidRDefault="0076494B" w:rsidP="00616E08">
      <w:pPr>
        <w:pStyle w:val="Default"/>
        <w:numPr>
          <w:ilvl w:val="0"/>
          <w:numId w:val="2"/>
        </w:numPr>
        <w:jc w:val="both"/>
        <w:rPr>
          <w:b/>
        </w:rPr>
      </w:pPr>
      <w:r w:rsidRPr="002E4B5E">
        <w:rPr>
          <w:b/>
        </w:rPr>
        <w:t>Depr</w:t>
      </w:r>
      <w:r w:rsidRPr="002E4B5E">
        <w:rPr>
          <w:b/>
        </w:rPr>
        <w:t>ivation Supplement</w:t>
      </w:r>
    </w:p>
    <w:p w:rsidR="00616E08" w:rsidRDefault="0076494B" w:rsidP="00616E08">
      <w:pPr>
        <w:pStyle w:val="Default"/>
        <w:jc w:val="both"/>
      </w:pPr>
      <w:r>
        <w:t>Deprivation r</w:t>
      </w:r>
      <w:r w:rsidRPr="00C95B7A">
        <w:t xml:space="preserve">emains the only mandatory supplement in the EYNFF but discretion </w:t>
      </w:r>
      <w:r>
        <w:t xml:space="preserve">is available </w:t>
      </w:r>
      <w:r w:rsidRPr="00C95B7A">
        <w:t xml:space="preserve">over level to be allocated, subject to </w:t>
      </w:r>
      <w:r>
        <w:t xml:space="preserve">a </w:t>
      </w:r>
      <w:r w:rsidRPr="00C95B7A">
        <w:t>10% cap</w:t>
      </w:r>
      <w:r>
        <w:t>.  The c</w:t>
      </w:r>
      <w:r w:rsidRPr="00C95B7A">
        <w:t xml:space="preserve">urrent Deprivation supplement </w:t>
      </w:r>
      <w:r>
        <w:t xml:space="preserve">in Lancashire </w:t>
      </w:r>
      <w:r w:rsidRPr="00C95B7A">
        <w:t>allocates a</w:t>
      </w:r>
      <w:r>
        <w:t>bout 2.5% of EYNFF expenditure.</w:t>
      </w:r>
    </w:p>
    <w:p w:rsidR="00616E08" w:rsidRPr="00C95B7A" w:rsidRDefault="0076494B" w:rsidP="00616E08">
      <w:pPr>
        <w:pStyle w:val="Default"/>
        <w:ind w:left="720"/>
        <w:jc w:val="both"/>
      </w:pPr>
    </w:p>
    <w:p w:rsidR="00616E08" w:rsidRPr="00C95B7A" w:rsidRDefault="0076494B" w:rsidP="00616E08">
      <w:pPr>
        <w:pStyle w:val="Default"/>
        <w:jc w:val="both"/>
      </w:pPr>
      <w:r w:rsidRPr="00C95B7A">
        <w:t>Proposal for a continuation of the current arrangements is to minimise the disruption and maintain base rate increases</w:t>
      </w:r>
    </w:p>
    <w:p w:rsidR="00616E08" w:rsidRDefault="0076494B" w:rsidP="00616E08">
      <w:pPr>
        <w:pStyle w:val="Default"/>
        <w:ind w:left="360"/>
        <w:jc w:val="both"/>
        <w:rPr>
          <w:b/>
        </w:rPr>
      </w:pPr>
    </w:p>
    <w:p w:rsidR="00616E08" w:rsidRDefault="0076494B" w:rsidP="00616E08">
      <w:pPr>
        <w:pStyle w:val="Default"/>
        <w:jc w:val="both"/>
        <w:rPr>
          <w:b/>
          <w:i/>
          <w:iCs/>
        </w:rPr>
      </w:pPr>
      <w:r w:rsidRPr="00C95B7A">
        <w:rPr>
          <w:b/>
          <w:i/>
          <w:iCs/>
        </w:rPr>
        <w:t>Q2. Do you agree that the existing funding level and methodology should be used in 2018/19 for the mandatory deprivation supplement?</w:t>
      </w:r>
    </w:p>
    <w:p w:rsidR="00616E08" w:rsidRDefault="0076494B" w:rsidP="00616E08">
      <w:pPr>
        <w:pStyle w:val="Default"/>
        <w:rPr>
          <w:b/>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1"/>
        <w:gridCol w:w="2359"/>
        <w:gridCol w:w="2358"/>
        <w:gridCol w:w="2358"/>
      </w:tblGrid>
      <w:tr w:rsidR="00FF1399" w:rsidTr="00A92922">
        <w:trPr>
          <w:trHeight w:val="454"/>
        </w:trPr>
        <w:tc>
          <w:tcPr>
            <w:tcW w:w="1366" w:type="pct"/>
            <w:shd w:val="clear" w:color="auto" w:fill="auto"/>
            <w:tcMar>
              <w:top w:w="15" w:type="dxa"/>
              <w:left w:w="108" w:type="dxa"/>
              <w:bottom w:w="0" w:type="dxa"/>
              <w:right w:w="108" w:type="dxa"/>
            </w:tcMar>
            <w:vAlign w:val="center"/>
            <w:hideMark/>
          </w:tcPr>
          <w:p w:rsidR="00616E08" w:rsidRPr="00C95B7A" w:rsidRDefault="0076494B" w:rsidP="00A92922">
            <w:pPr>
              <w:pStyle w:val="Default"/>
              <w:jc w:val="center"/>
              <w:rPr>
                <w:b/>
              </w:rPr>
            </w:pPr>
            <w:r w:rsidRPr="00C95B7A">
              <w:rPr>
                <w:b/>
              </w:rPr>
              <w:t>Responses</w:t>
            </w:r>
          </w:p>
        </w:tc>
        <w:tc>
          <w:tcPr>
            <w:tcW w:w="1211" w:type="pct"/>
            <w:shd w:val="clear" w:color="auto" w:fill="auto"/>
            <w:tcMar>
              <w:top w:w="15" w:type="dxa"/>
              <w:left w:w="108" w:type="dxa"/>
              <w:bottom w:w="0" w:type="dxa"/>
              <w:right w:w="108" w:type="dxa"/>
            </w:tcMar>
            <w:vAlign w:val="center"/>
            <w:hideMark/>
          </w:tcPr>
          <w:p w:rsidR="00616E08" w:rsidRPr="00C95B7A" w:rsidRDefault="0076494B" w:rsidP="00A92922">
            <w:pPr>
              <w:pStyle w:val="Default"/>
              <w:jc w:val="center"/>
              <w:rPr>
                <w:b/>
              </w:rPr>
            </w:pPr>
            <w:r w:rsidRPr="00C95B7A">
              <w:rPr>
                <w:b/>
              </w:rPr>
              <w:t>Yes</w:t>
            </w:r>
          </w:p>
        </w:tc>
        <w:tc>
          <w:tcPr>
            <w:tcW w:w="1211" w:type="pct"/>
            <w:shd w:val="clear" w:color="auto" w:fill="auto"/>
            <w:tcMar>
              <w:top w:w="15" w:type="dxa"/>
              <w:left w:w="108" w:type="dxa"/>
              <w:bottom w:w="0" w:type="dxa"/>
              <w:right w:w="108" w:type="dxa"/>
            </w:tcMar>
            <w:vAlign w:val="center"/>
            <w:hideMark/>
          </w:tcPr>
          <w:p w:rsidR="00616E08" w:rsidRPr="00C95B7A" w:rsidRDefault="0076494B" w:rsidP="00A92922">
            <w:pPr>
              <w:pStyle w:val="Default"/>
              <w:jc w:val="center"/>
              <w:rPr>
                <w:b/>
              </w:rPr>
            </w:pPr>
            <w:r w:rsidRPr="00C95B7A">
              <w:rPr>
                <w:b/>
              </w:rPr>
              <w:t>No</w:t>
            </w:r>
          </w:p>
        </w:tc>
        <w:tc>
          <w:tcPr>
            <w:tcW w:w="1211" w:type="pct"/>
            <w:shd w:val="clear" w:color="auto" w:fill="auto"/>
            <w:tcMar>
              <w:top w:w="15" w:type="dxa"/>
              <w:left w:w="108" w:type="dxa"/>
              <w:bottom w:w="0" w:type="dxa"/>
              <w:right w:w="108" w:type="dxa"/>
            </w:tcMar>
            <w:vAlign w:val="center"/>
            <w:hideMark/>
          </w:tcPr>
          <w:p w:rsidR="00616E08" w:rsidRPr="00C95B7A" w:rsidRDefault="0076494B" w:rsidP="00A92922">
            <w:pPr>
              <w:pStyle w:val="Default"/>
              <w:jc w:val="center"/>
              <w:rPr>
                <w:b/>
              </w:rPr>
            </w:pPr>
            <w:r w:rsidRPr="00C95B7A">
              <w:rPr>
                <w:b/>
              </w:rPr>
              <w:t>Not sure</w:t>
            </w:r>
          </w:p>
        </w:tc>
      </w:tr>
      <w:tr w:rsidR="00FF1399" w:rsidTr="00A92922">
        <w:trPr>
          <w:trHeight w:val="454"/>
        </w:trPr>
        <w:tc>
          <w:tcPr>
            <w:tcW w:w="1366" w:type="pct"/>
            <w:shd w:val="clear" w:color="auto" w:fill="auto"/>
            <w:tcMar>
              <w:top w:w="15" w:type="dxa"/>
              <w:left w:w="15" w:type="dxa"/>
              <w:bottom w:w="0" w:type="dxa"/>
              <w:right w:w="15" w:type="dxa"/>
            </w:tcMar>
            <w:vAlign w:val="center"/>
            <w:hideMark/>
          </w:tcPr>
          <w:p w:rsidR="00616E08" w:rsidRPr="00C95B7A" w:rsidRDefault="0076494B" w:rsidP="00A92922">
            <w:pPr>
              <w:pStyle w:val="Default"/>
              <w:jc w:val="center"/>
              <w:rPr>
                <w:b/>
              </w:rPr>
            </w:pPr>
            <w:r>
              <w:rPr>
                <w:b/>
              </w:rPr>
              <w:t>90</w:t>
            </w:r>
          </w:p>
        </w:tc>
        <w:tc>
          <w:tcPr>
            <w:tcW w:w="1211" w:type="pct"/>
            <w:shd w:val="clear" w:color="auto" w:fill="auto"/>
            <w:tcMar>
              <w:top w:w="15" w:type="dxa"/>
              <w:left w:w="15" w:type="dxa"/>
              <w:bottom w:w="0" w:type="dxa"/>
              <w:right w:w="15" w:type="dxa"/>
            </w:tcMar>
            <w:vAlign w:val="center"/>
            <w:hideMark/>
          </w:tcPr>
          <w:p w:rsidR="00616E08" w:rsidRPr="00C752CF" w:rsidRDefault="0076494B" w:rsidP="00A92922">
            <w:pPr>
              <w:pStyle w:val="Default"/>
              <w:jc w:val="center"/>
              <w:rPr>
                <w:b/>
              </w:rPr>
            </w:pPr>
            <w:r w:rsidRPr="00C752CF">
              <w:rPr>
                <w:b/>
              </w:rPr>
              <w:t>64.4%</w:t>
            </w:r>
          </w:p>
        </w:tc>
        <w:tc>
          <w:tcPr>
            <w:tcW w:w="1211" w:type="pct"/>
            <w:shd w:val="clear" w:color="auto" w:fill="auto"/>
            <w:tcMar>
              <w:top w:w="15" w:type="dxa"/>
              <w:left w:w="15" w:type="dxa"/>
              <w:bottom w:w="0" w:type="dxa"/>
              <w:right w:w="15" w:type="dxa"/>
            </w:tcMar>
            <w:vAlign w:val="center"/>
            <w:hideMark/>
          </w:tcPr>
          <w:p w:rsidR="00616E08" w:rsidRPr="00C752CF" w:rsidRDefault="0076494B" w:rsidP="00A92922">
            <w:pPr>
              <w:pStyle w:val="Default"/>
              <w:jc w:val="center"/>
              <w:rPr>
                <w:b/>
              </w:rPr>
            </w:pPr>
            <w:r w:rsidRPr="00C752CF">
              <w:rPr>
                <w:b/>
              </w:rPr>
              <w:t>6.7%</w:t>
            </w:r>
          </w:p>
        </w:tc>
        <w:tc>
          <w:tcPr>
            <w:tcW w:w="1211" w:type="pct"/>
            <w:shd w:val="clear" w:color="auto" w:fill="auto"/>
            <w:tcMar>
              <w:top w:w="15" w:type="dxa"/>
              <w:left w:w="15" w:type="dxa"/>
              <w:bottom w:w="0" w:type="dxa"/>
              <w:right w:w="15" w:type="dxa"/>
            </w:tcMar>
            <w:vAlign w:val="center"/>
            <w:hideMark/>
          </w:tcPr>
          <w:p w:rsidR="00616E08" w:rsidRPr="00C752CF" w:rsidRDefault="0076494B" w:rsidP="00A92922">
            <w:pPr>
              <w:pStyle w:val="Default"/>
              <w:jc w:val="center"/>
              <w:rPr>
                <w:b/>
              </w:rPr>
            </w:pPr>
            <w:r w:rsidRPr="00C752CF">
              <w:rPr>
                <w:b/>
              </w:rPr>
              <w:t>28.9%</w:t>
            </w:r>
          </w:p>
        </w:tc>
      </w:tr>
    </w:tbl>
    <w:p w:rsidR="00616E08" w:rsidRDefault="0076494B" w:rsidP="00616E08">
      <w:pPr>
        <w:pStyle w:val="Default"/>
        <w:rPr>
          <w:b/>
        </w:rPr>
      </w:pPr>
    </w:p>
    <w:p w:rsidR="00616E08" w:rsidRDefault="0076494B" w:rsidP="00616E08">
      <w:pPr>
        <w:pStyle w:val="Default"/>
        <w:rPr>
          <w:b/>
        </w:rPr>
      </w:pPr>
      <w:r w:rsidRPr="00C95B7A">
        <w:rPr>
          <w:b/>
        </w:rPr>
        <w:t>Q2 Comments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36"/>
      </w:tblGrid>
      <w:tr w:rsidR="00FF1399" w:rsidTr="00A92922">
        <w:trPr>
          <w:trHeight w:val="20"/>
        </w:trPr>
        <w:tc>
          <w:tcPr>
            <w:tcW w:w="5000" w:type="pct"/>
            <w:shd w:val="clear" w:color="auto" w:fill="auto"/>
            <w:tcMar>
              <w:top w:w="3" w:type="dxa"/>
              <w:left w:w="15" w:type="dxa"/>
              <w:bottom w:w="0" w:type="dxa"/>
              <w:right w:w="15" w:type="dxa"/>
            </w:tcMar>
            <w:vAlign w:val="bottom"/>
            <w:hideMark/>
          </w:tcPr>
          <w:p w:rsidR="00616E08" w:rsidRPr="00C95B7A" w:rsidRDefault="0076494B" w:rsidP="00A92922">
            <w:pPr>
              <w:pStyle w:val="Default"/>
            </w:pPr>
            <w:r>
              <w:t xml:space="preserve">we don't qualify </w:t>
            </w:r>
          </w:p>
        </w:tc>
      </w:tr>
      <w:tr w:rsidR="00FF1399" w:rsidTr="00A92922">
        <w:trPr>
          <w:trHeight w:val="20"/>
        </w:trPr>
        <w:tc>
          <w:tcPr>
            <w:tcW w:w="5000" w:type="pct"/>
            <w:shd w:val="clear" w:color="auto" w:fill="auto"/>
            <w:tcMar>
              <w:top w:w="15" w:type="dxa"/>
              <w:left w:w="15" w:type="dxa"/>
              <w:bottom w:w="0" w:type="dxa"/>
              <w:right w:w="15" w:type="dxa"/>
            </w:tcMar>
            <w:vAlign w:val="bottom"/>
            <w:hideMark/>
          </w:tcPr>
          <w:p w:rsidR="00616E08" w:rsidRPr="00C95B7A" w:rsidRDefault="0076494B" w:rsidP="00A92922">
            <w:pPr>
              <w:pStyle w:val="Default"/>
            </w:pPr>
            <w:r>
              <w:t>NEEDS TO REFLECT NURSERY FEES</w:t>
            </w:r>
          </w:p>
        </w:tc>
      </w:tr>
      <w:tr w:rsidR="00FF1399" w:rsidTr="00A92922">
        <w:trPr>
          <w:trHeight w:val="20"/>
        </w:trPr>
        <w:tc>
          <w:tcPr>
            <w:tcW w:w="5000" w:type="pct"/>
            <w:shd w:val="clear" w:color="auto" w:fill="auto"/>
            <w:tcMar>
              <w:top w:w="15" w:type="dxa"/>
              <w:left w:w="15" w:type="dxa"/>
              <w:bottom w:w="0" w:type="dxa"/>
              <w:right w:w="15" w:type="dxa"/>
            </w:tcMar>
            <w:vAlign w:val="bottom"/>
            <w:hideMark/>
          </w:tcPr>
          <w:p w:rsidR="00616E08" w:rsidRPr="00C95B7A" w:rsidRDefault="0076494B" w:rsidP="00A92922">
            <w:pPr>
              <w:pStyle w:val="Default"/>
            </w:pPr>
            <w:r>
              <w:t>Keep the childminders rate at £4.96 or increase not decrease. Good service deserves good pay</w:t>
            </w:r>
          </w:p>
        </w:tc>
      </w:tr>
      <w:tr w:rsidR="00FF1399" w:rsidTr="00A92922">
        <w:trPr>
          <w:trHeight w:val="20"/>
        </w:trPr>
        <w:tc>
          <w:tcPr>
            <w:tcW w:w="5000" w:type="pct"/>
            <w:shd w:val="clear" w:color="auto" w:fill="auto"/>
            <w:tcMar>
              <w:top w:w="15" w:type="dxa"/>
              <w:left w:w="15" w:type="dxa"/>
              <w:bottom w:w="0" w:type="dxa"/>
              <w:right w:w="15" w:type="dxa"/>
            </w:tcMar>
            <w:vAlign w:val="bottom"/>
            <w:hideMark/>
          </w:tcPr>
          <w:p w:rsidR="00616E08" w:rsidRPr="00C95B7A" w:rsidRDefault="0076494B" w:rsidP="00A92922">
            <w:pPr>
              <w:pStyle w:val="Default"/>
            </w:pPr>
            <w:r>
              <w:t>We need to funded at a level where we can continue to provide high quality education for young children with a specialist qualified workforce including trained SENCO, Headteacher and Graduate Teachers</w:t>
            </w:r>
          </w:p>
        </w:tc>
      </w:tr>
      <w:tr w:rsidR="00FF1399" w:rsidTr="00A92922">
        <w:trPr>
          <w:trHeight w:val="20"/>
        </w:trPr>
        <w:tc>
          <w:tcPr>
            <w:tcW w:w="5000" w:type="pct"/>
            <w:shd w:val="clear" w:color="auto" w:fill="auto"/>
            <w:tcMar>
              <w:top w:w="15" w:type="dxa"/>
              <w:left w:w="15" w:type="dxa"/>
              <w:bottom w:w="0" w:type="dxa"/>
              <w:right w:w="15" w:type="dxa"/>
            </w:tcMar>
            <w:vAlign w:val="bottom"/>
            <w:hideMark/>
          </w:tcPr>
          <w:p w:rsidR="00616E08" w:rsidRPr="00C95B7A" w:rsidRDefault="0076494B" w:rsidP="00A92922">
            <w:pPr>
              <w:pStyle w:val="Default"/>
            </w:pPr>
            <w:r>
              <w:t xml:space="preserve">Again not sure what any of this really is </w:t>
            </w:r>
          </w:p>
        </w:tc>
      </w:tr>
      <w:tr w:rsidR="00FF1399" w:rsidTr="00A92922">
        <w:trPr>
          <w:trHeight w:val="20"/>
        </w:trPr>
        <w:tc>
          <w:tcPr>
            <w:tcW w:w="5000" w:type="pct"/>
            <w:shd w:val="clear" w:color="auto" w:fill="auto"/>
            <w:tcMar>
              <w:top w:w="15" w:type="dxa"/>
              <w:left w:w="15" w:type="dxa"/>
              <w:bottom w:w="0" w:type="dxa"/>
              <w:right w:w="15" w:type="dxa"/>
            </w:tcMar>
            <w:vAlign w:val="bottom"/>
            <w:hideMark/>
          </w:tcPr>
          <w:p w:rsidR="00616E08" w:rsidRPr="00FF0193" w:rsidRDefault="0076494B" w:rsidP="00A92922">
            <w:pPr>
              <w:pStyle w:val="Default"/>
            </w:pPr>
            <w:r w:rsidRPr="00FF0193">
              <w:t xml:space="preserve">Need to </w:t>
            </w:r>
            <w:r w:rsidRPr="00FF0193">
              <w:t>know figures to assess better - possibly unfair</w:t>
            </w:r>
          </w:p>
        </w:tc>
      </w:tr>
      <w:tr w:rsidR="00FF1399" w:rsidTr="00A92922">
        <w:trPr>
          <w:trHeight w:val="20"/>
        </w:trPr>
        <w:tc>
          <w:tcPr>
            <w:tcW w:w="5000" w:type="pct"/>
            <w:shd w:val="clear" w:color="auto" w:fill="auto"/>
            <w:tcMar>
              <w:top w:w="15" w:type="dxa"/>
              <w:left w:w="15" w:type="dxa"/>
              <w:bottom w:w="0" w:type="dxa"/>
              <w:right w:w="15" w:type="dxa"/>
            </w:tcMar>
            <w:vAlign w:val="bottom"/>
          </w:tcPr>
          <w:p w:rsidR="00616E08" w:rsidRDefault="0076494B" w:rsidP="00A92922">
            <w:pPr>
              <w:pStyle w:val="Default"/>
            </w:pPr>
            <w:r w:rsidRPr="00FF0193">
              <w:t>We believe that the same methodology should be used for distributing deprivation funding to early years providers as is used for all Lancashire primary and secondary schools.</w:t>
            </w:r>
          </w:p>
        </w:tc>
      </w:tr>
    </w:tbl>
    <w:p w:rsidR="00616E08" w:rsidRDefault="0076494B" w:rsidP="00616E08">
      <w:pPr>
        <w:pStyle w:val="Default"/>
        <w:rPr>
          <w:b/>
        </w:rPr>
      </w:pPr>
    </w:p>
    <w:p w:rsidR="00616E08" w:rsidRDefault="0076494B" w:rsidP="00616E08">
      <w:pPr>
        <w:pStyle w:val="Default"/>
        <w:rPr>
          <w:b/>
        </w:rPr>
      </w:pPr>
    </w:p>
    <w:p w:rsidR="00616E08" w:rsidRDefault="0076494B" w:rsidP="00616E08">
      <w:pPr>
        <w:pStyle w:val="Default"/>
        <w:numPr>
          <w:ilvl w:val="0"/>
          <w:numId w:val="2"/>
        </w:numPr>
        <w:rPr>
          <w:b/>
        </w:rPr>
      </w:pPr>
      <w:r w:rsidRPr="00E0001E">
        <w:rPr>
          <w:b/>
        </w:rPr>
        <w:t>Rurality Supplement</w:t>
      </w:r>
    </w:p>
    <w:p w:rsidR="00616E08" w:rsidRPr="00E0001E" w:rsidRDefault="0076494B" w:rsidP="00616E08">
      <w:pPr>
        <w:pStyle w:val="Default"/>
        <w:jc w:val="both"/>
      </w:pPr>
      <w:r w:rsidRPr="00E0001E">
        <w:t xml:space="preserve">Proposed </w:t>
      </w:r>
      <w:r w:rsidRPr="00E0001E">
        <w:t>to discontinue the Rurality Supplement, due to concerns over data used for calculation</w:t>
      </w:r>
      <w:r>
        <w:t xml:space="preserve">.  </w:t>
      </w:r>
      <w:r w:rsidRPr="00E0001E">
        <w:t xml:space="preserve">Only small aggregate sum </w:t>
      </w:r>
      <w:r>
        <w:t xml:space="preserve">is allocated through </w:t>
      </w:r>
      <w:r w:rsidRPr="00E0001E">
        <w:t>this supplement (0.2%)</w:t>
      </w:r>
      <w:r>
        <w:t xml:space="preserve">.  </w:t>
      </w:r>
      <w:r w:rsidRPr="00E0001E">
        <w:t xml:space="preserve">However, </w:t>
      </w:r>
      <w:r>
        <w:t xml:space="preserve">there is </w:t>
      </w:r>
      <w:r w:rsidRPr="00E0001E">
        <w:t>concern about the impact on individual settings that currently qualify</w:t>
      </w:r>
    </w:p>
    <w:p w:rsidR="00616E08" w:rsidRDefault="0076494B" w:rsidP="00616E08">
      <w:pPr>
        <w:pStyle w:val="Default"/>
        <w:ind w:left="360"/>
        <w:rPr>
          <w:b/>
        </w:rPr>
      </w:pPr>
    </w:p>
    <w:p w:rsidR="00616E08" w:rsidRDefault="0076494B" w:rsidP="00616E08">
      <w:pPr>
        <w:pStyle w:val="Default"/>
        <w:jc w:val="both"/>
        <w:rPr>
          <w:b/>
          <w:i/>
          <w:iCs/>
        </w:rPr>
      </w:pPr>
      <w:r w:rsidRPr="00E0001E">
        <w:rPr>
          <w:b/>
          <w:i/>
          <w:iCs/>
        </w:rPr>
        <w:t>Q3. Do</w:t>
      </w:r>
      <w:r w:rsidRPr="00E0001E">
        <w:rPr>
          <w:b/>
          <w:i/>
          <w:iCs/>
        </w:rPr>
        <w:t xml:space="preserve"> you agree that the existing Rurality Supplement should be discontinued in 2018/19?</w:t>
      </w:r>
    </w:p>
    <w:p w:rsidR="00616E08" w:rsidRDefault="0076494B" w:rsidP="00616E08">
      <w:pPr>
        <w:pStyle w:val="Default"/>
        <w:rPr>
          <w:b/>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42"/>
        <w:gridCol w:w="1684"/>
        <w:gridCol w:w="1069"/>
        <w:gridCol w:w="1071"/>
        <w:gridCol w:w="1170"/>
      </w:tblGrid>
      <w:tr w:rsidR="00FF1399" w:rsidTr="00A92922">
        <w:trPr>
          <w:trHeight w:val="340"/>
        </w:trPr>
        <w:tc>
          <w:tcPr>
            <w:tcW w:w="2435" w:type="pct"/>
            <w:shd w:val="clear" w:color="auto" w:fill="auto"/>
            <w:tcMar>
              <w:top w:w="15" w:type="dxa"/>
              <w:left w:w="15" w:type="dxa"/>
              <w:bottom w:w="0" w:type="dxa"/>
              <w:right w:w="15" w:type="dxa"/>
            </w:tcMar>
            <w:vAlign w:val="bottom"/>
            <w:hideMark/>
          </w:tcPr>
          <w:p w:rsidR="00616E08" w:rsidRPr="00E0001E" w:rsidRDefault="0076494B" w:rsidP="00A92922">
            <w:pPr>
              <w:pStyle w:val="Default"/>
              <w:rPr>
                <w:b/>
              </w:rPr>
            </w:pPr>
          </w:p>
        </w:tc>
        <w:tc>
          <w:tcPr>
            <w:tcW w:w="865" w:type="pct"/>
            <w:shd w:val="clear" w:color="auto" w:fill="auto"/>
            <w:tcMar>
              <w:top w:w="15" w:type="dxa"/>
              <w:left w:w="15" w:type="dxa"/>
              <w:bottom w:w="0" w:type="dxa"/>
              <w:right w:w="15" w:type="dxa"/>
            </w:tcMar>
            <w:vAlign w:val="center"/>
            <w:hideMark/>
          </w:tcPr>
          <w:p w:rsidR="00616E08" w:rsidRPr="00E0001E" w:rsidRDefault="0076494B" w:rsidP="00A92922">
            <w:pPr>
              <w:pStyle w:val="Default"/>
              <w:jc w:val="center"/>
              <w:rPr>
                <w:b/>
              </w:rPr>
            </w:pPr>
            <w:r w:rsidRPr="00E0001E">
              <w:rPr>
                <w:b/>
                <w:bCs/>
              </w:rPr>
              <w:t>Responses</w:t>
            </w:r>
          </w:p>
        </w:tc>
        <w:tc>
          <w:tcPr>
            <w:tcW w:w="549" w:type="pct"/>
            <w:shd w:val="clear" w:color="auto" w:fill="auto"/>
            <w:tcMar>
              <w:top w:w="15" w:type="dxa"/>
              <w:left w:w="15" w:type="dxa"/>
              <w:bottom w:w="0" w:type="dxa"/>
              <w:right w:w="15" w:type="dxa"/>
            </w:tcMar>
            <w:vAlign w:val="center"/>
            <w:hideMark/>
          </w:tcPr>
          <w:p w:rsidR="00616E08" w:rsidRPr="00E0001E" w:rsidRDefault="0076494B" w:rsidP="00A92922">
            <w:pPr>
              <w:pStyle w:val="Default"/>
              <w:jc w:val="center"/>
              <w:rPr>
                <w:b/>
              </w:rPr>
            </w:pPr>
            <w:r w:rsidRPr="00E0001E">
              <w:rPr>
                <w:b/>
                <w:bCs/>
              </w:rPr>
              <w:t>Yes</w:t>
            </w:r>
          </w:p>
        </w:tc>
        <w:tc>
          <w:tcPr>
            <w:tcW w:w="550" w:type="pct"/>
            <w:shd w:val="clear" w:color="auto" w:fill="auto"/>
            <w:tcMar>
              <w:top w:w="15" w:type="dxa"/>
              <w:left w:w="15" w:type="dxa"/>
              <w:bottom w:w="0" w:type="dxa"/>
              <w:right w:w="15" w:type="dxa"/>
            </w:tcMar>
            <w:vAlign w:val="center"/>
            <w:hideMark/>
          </w:tcPr>
          <w:p w:rsidR="00616E08" w:rsidRPr="00E0001E" w:rsidRDefault="0076494B" w:rsidP="00A92922">
            <w:pPr>
              <w:pStyle w:val="Default"/>
              <w:jc w:val="center"/>
              <w:rPr>
                <w:b/>
              </w:rPr>
            </w:pPr>
            <w:r w:rsidRPr="00E0001E">
              <w:rPr>
                <w:b/>
                <w:bCs/>
              </w:rPr>
              <w:t>No</w:t>
            </w:r>
          </w:p>
        </w:tc>
        <w:tc>
          <w:tcPr>
            <w:tcW w:w="601" w:type="pct"/>
            <w:shd w:val="clear" w:color="auto" w:fill="auto"/>
            <w:tcMar>
              <w:top w:w="15" w:type="dxa"/>
              <w:left w:w="15" w:type="dxa"/>
              <w:bottom w:w="0" w:type="dxa"/>
              <w:right w:w="15" w:type="dxa"/>
            </w:tcMar>
            <w:vAlign w:val="center"/>
            <w:hideMark/>
          </w:tcPr>
          <w:p w:rsidR="00616E08" w:rsidRPr="00E0001E" w:rsidRDefault="0076494B" w:rsidP="00A92922">
            <w:pPr>
              <w:pStyle w:val="Default"/>
              <w:jc w:val="center"/>
              <w:rPr>
                <w:b/>
              </w:rPr>
            </w:pPr>
            <w:r w:rsidRPr="00E0001E">
              <w:rPr>
                <w:b/>
                <w:bCs/>
              </w:rPr>
              <w:t>Not sure</w:t>
            </w:r>
          </w:p>
        </w:tc>
      </w:tr>
      <w:tr w:rsidR="00FF1399" w:rsidTr="00A92922">
        <w:trPr>
          <w:trHeight w:val="340"/>
        </w:trPr>
        <w:tc>
          <w:tcPr>
            <w:tcW w:w="2435" w:type="pct"/>
            <w:shd w:val="clear" w:color="auto" w:fill="auto"/>
            <w:tcMar>
              <w:top w:w="15" w:type="dxa"/>
              <w:left w:w="15" w:type="dxa"/>
              <w:bottom w:w="0" w:type="dxa"/>
              <w:right w:w="15" w:type="dxa"/>
            </w:tcMar>
            <w:vAlign w:val="center"/>
            <w:hideMark/>
          </w:tcPr>
          <w:p w:rsidR="00616E08" w:rsidRPr="00E0001E" w:rsidRDefault="0076494B" w:rsidP="00A92922">
            <w:pPr>
              <w:pStyle w:val="Default"/>
            </w:pPr>
            <w:r w:rsidRPr="00E0001E">
              <w:t>Nursery School</w:t>
            </w:r>
          </w:p>
        </w:tc>
        <w:tc>
          <w:tcPr>
            <w:tcW w:w="865" w:type="pct"/>
            <w:shd w:val="clear" w:color="auto" w:fill="auto"/>
            <w:tcMar>
              <w:top w:w="15" w:type="dxa"/>
              <w:left w:w="15" w:type="dxa"/>
              <w:bottom w:w="0" w:type="dxa"/>
              <w:right w:w="15" w:type="dxa"/>
            </w:tcMar>
            <w:vAlign w:val="center"/>
            <w:hideMark/>
          </w:tcPr>
          <w:p w:rsidR="00616E08" w:rsidRPr="00E0001E" w:rsidRDefault="0076494B" w:rsidP="00A92922">
            <w:pPr>
              <w:pStyle w:val="Default"/>
              <w:jc w:val="center"/>
            </w:pPr>
            <w:r>
              <w:t>15</w:t>
            </w:r>
          </w:p>
        </w:tc>
        <w:tc>
          <w:tcPr>
            <w:tcW w:w="549" w:type="pct"/>
            <w:shd w:val="clear" w:color="auto" w:fill="auto"/>
            <w:tcMar>
              <w:top w:w="15" w:type="dxa"/>
              <w:left w:w="15" w:type="dxa"/>
              <w:bottom w:w="0" w:type="dxa"/>
              <w:right w:w="15" w:type="dxa"/>
            </w:tcMar>
            <w:vAlign w:val="center"/>
            <w:hideMark/>
          </w:tcPr>
          <w:p w:rsidR="00616E08" w:rsidRPr="00E0001E" w:rsidRDefault="0076494B" w:rsidP="00A92922">
            <w:pPr>
              <w:pStyle w:val="Default"/>
              <w:jc w:val="center"/>
            </w:pPr>
            <w:r>
              <w:t>14</w:t>
            </w:r>
          </w:p>
        </w:tc>
        <w:tc>
          <w:tcPr>
            <w:tcW w:w="550" w:type="pct"/>
            <w:shd w:val="clear" w:color="auto" w:fill="auto"/>
            <w:tcMar>
              <w:top w:w="15" w:type="dxa"/>
              <w:left w:w="15" w:type="dxa"/>
              <w:bottom w:w="0" w:type="dxa"/>
              <w:right w:w="15" w:type="dxa"/>
            </w:tcMar>
            <w:vAlign w:val="center"/>
            <w:hideMark/>
          </w:tcPr>
          <w:p w:rsidR="00616E08" w:rsidRPr="00E0001E" w:rsidRDefault="0076494B" w:rsidP="00A92922">
            <w:pPr>
              <w:pStyle w:val="Default"/>
              <w:jc w:val="center"/>
            </w:pPr>
            <w:r>
              <w:t>1</w:t>
            </w:r>
          </w:p>
        </w:tc>
        <w:tc>
          <w:tcPr>
            <w:tcW w:w="601" w:type="pct"/>
            <w:shd w:val="clear" w:color="auto" w:fill="auto"/>
            <w:tcMar>
              <w:top w:w="15" w:type="dxa"/>
              <w:left w:w="15" w:type="dxa"/>
              <w:bottom w:w="0" w:type="dxa"/>
              <w:right w:w="15" w:type="dxa"/>
            </w:tcMar>
            <w:vAlign w:val="center"/>
            <w:hideMark/>
          </w:tcPr>
          <w:p w:rsidR="00616E08" w:rsidRPr="00E0001E" w:rsidRDefault="0076494B" w:rsidP="00A92922">
            <w:pPr>
              <w:pStyle w:val="Default"/>
              <w:jc w:val="center"/>
            </w:pPr>
            <w:r>
              <w:t>0</w:t>
            </w:r>
          </w:p>
        </w:tc>
      </w:tr>
      <w:tr w:rsidR="00FF1399" w:rsidTr="00A92922">
        <w:trPr>
          <w:trHeight w:val="340"/>
        </w:trPr>
        <w:tc>
          <w:tcPr>
            <w:tcW w:w="2435" w:type="pct"/>
            <w:shd w:val="clear" w:color="auto" w:fill="auto"/>
            <w:tcMar>
              <w:top w:w="15" w:type="dxa"/>
              <w:left w:w="15" w:type="dxa"/>
              <w:bottom w:w="0" w:type="dxa"/>
              <w:right w:w="15" w:type="dxa"/>
            </w:tcMar>
            <w:vAlign w:val="center"/>
            <w:hideMark/>
          </w:tcPr>
          <w:p w:rsidR="00616E08" w:rsidRPr="00E0001E" w:rsidRDefault="0076494B" w:rsidP="00A92922">
            <w:pPr>
              <w:pStyle w:val="Default"/>
            </w:pPr>
            <w:r w:rsidRPr="00E0001E">
              <w:rPr>
                <w:lang w:val="en-US"/>
              </w:rPr>
              <w:t>Primary School with Nursery Class</w:t>
            </w:r>
          </w:p>
        </w:tc>
        <w:tc>
          <w:tcPr>
            <w:tcW w:w="865" w:type="pct"/>
            <w:shd w:val="clear" w:color="auto" w:fill="auto"/>
            <w:tcMar>
              <w:top w:w="15" w:type="dxa"/>
              <w:left w:w="15" w:type="dxa"/>
              <w:bottom w:w="0" w:type="dxa"/>
              <w:right w:w="15" w:type="dxa"/>
            </w:tcMar>
            <w:vAlign w:val="center"/>
            <w:hideMark/>
          </w:tcPr>
          <w:p w:rsidR="00616E08" w:rsidRPr="00E0001E" w:rsidRDefault="0076494B" w:rsidP="00A92922">
            <w:pPr>
              <w:pStyle w:val="Default"/>
              <w:jc w:val="center"/>
            </w:pPr>
            <w:r>
              <w:t>8</w:t>
            </w:r>
          </w:p>
        </w:tc>
        <w:tc>
          <w:tcPr>
            <w:tcW w:w="549" w:type="pct"/>
            <w:shd w:val="clear" w:color="auto" w:fill="auto"/>
            <w:tcMar>
              <w:top w:w="15" w:type="dxa"/>
              <w:left w:w="15" w:type="dxa"/>
              <w:bottom w:w="0" w:type="dxa"/>
              <w:right w:w="15" w:type="dxa"/>
            </w:tcMar>
            <w:vAlign w:val="center"/>
            <w:hideMark/>
          </w:tcPr>
          <w:p w:rsidR="00616E08" w:rsidRPr="00E0001E" w:rsidRDefault="0076494B" w:rsidP="00A92922">
            <w:pPr>
              <w:pStyle w:val="Default"/>
              <w:jc w:val="center"/>
            </w:pPr>
            <w:r>
              <w:t>5</w:t>
            </w:r>
          </w:p>
        </w:tc>
        <w:tc>
          <w:tcPr>
            <w:tcW w:w="550" w:type="pct"/>
            <w:shd w:val="clear" w:color="auto" w:fill="auto"/>
            <w:tcMar>
              <w:top w:w="15" w:type="dxa"/>
              <w:left w:w="15" w:type="dxa"/>
              <w:bottom w:w="0" w:type="dxa"/>
              <w:right w:w="15" w:type="dxa"/>
            </w:tcMar>
            <w:vAlign w:val="center"/>
            <w:hideMark/>
          </w:tcPr>
          <w:p w:rsidR="00616E08" w:rsidRPr="00E0001E" w:rsidRDefault="0076494B" w:rsidP="00A92922">
            <w:pPr>
              <w:pStyle w:val="Default"/>
              <w:jc w:val="center"/>
            </w:pPr>
            <w:r>
              <w:t>2</w:t>
            </w:r>
          </w:p>
        </w:tc>
        <w:tc>
          <w:tcPr>
            <w:tcW w:w="601" w:type="pct"/>
            <w:shd w:val="clear" w:color="auto" w:fill="auto"/>
            <w:tcMar>
              <w:top w:w="15" w:type="dxa"/>
              <w:left w:w="15" w:type="dxa"/>
              <w:bottom w:w="0" w:type="dxa"/>
              <w:right w:w="15" w:type="dxa"/>
            </w:tcMar>
            <w:vAlign w:val="center"/>
            <w:hideMark/>
          </w:tcPr>
          <w:p w:rsidR="00616E08" w:rsidRPr="00E0001E" w:rsidRDefault="0076494B" w:rsidP="00A92922">
            <w:pPr>
              <w:pStyle w:val="Default"/>
              <w:jc w:val="center"/>
            </w:pPr>
            <w:r>
              <w:t>1</w:t>
            </w:r>
          </w:p>
        </w:tc>
      </w:tr>
      <w:tr w:rsidR="00FF1399" w:rsidTr="00A92922">
        <w:trPr>
          <w:trHeight w:val="340"/>
        </w:trPr>
        <w:tc>
          <w:tcPr>
            <w:tcW w:w="2435" w:type="pct"/>
            <w:shd w:val="clear" w:color="auto" w:fill="auto"/>
            <w:tcMar>
              <w:top w:w="15" w:type="dxa"/>
              <w:left w:w="15" w:type="dxa"/>
              <w:bottom w:w="0" w:type="dxa"/>
              <w:right w:w="15" w:type="dxa"/>
            </w:tcMar>
            <w:vAlign w:val="center"/>
            <w:hideMark/>
          </w:tcPr>
          <w:p w:rsidR="00616E08" w:rsidRPr="00E0001E" w:rsidRDefault="0076494B" w:rsidP="00A92922">
            <w:pPr>
              <w:pStyle w:val="Default"/>
            </w:pPr>
            <w:r w:rsidRPr="00E0001E">
              <w:t>Private, Voluntary and Independent</w:t>
            </w:r>
          </w:p>
        </w:tc>
        <w:tc>
          <w:tcPr>
            <w:tcW w:w="865" w:type="pct"/>
            <w:shd w:val="clear" w:color="auto" w:fill="auto"/>
            <w:tcMar>
              <w:top w:w="15" w:type="dxa"/>
              <w:left w:w="15" w:type="dxa"/>
              <w:bottom w:w="0" w:type="dxa"/>
              <w:right w:w="15" w:type="dxa"/>
            </w:tcMar>
            <w:vAlign w:val="center"/>
            <w:hideMark/>
          </w:tcPr>
          <w:p w:rsidR="00616E08" w:rsidRPr="00E0001E" w:rsidRDefault="0076494B" w:rsidP="00A92922">
            <w:pPr>
              <w:pStyle w:val="Default"/>
              <w:jc w:val="center"/>
            </w:pPr>
            <w:r>
              <w:t>41</w:t>
            </w:r>
          </w:p>
        </w:tc>
        <w:tc>
          <w:tcPr>
            <w:tcW w:w="549" w:type="pct"/>
            <w:shd w:val="clear" w:color="auto" w:fill="auto"/>
            <w:tcMar>
              <w:top w:w="15" w:type="dxa"/>
              <w:left w:w="15" w:type="dxa"/>
              <w:bottom w:w="0" w:type="dxa"/>
              <w:right w:w="15" w:type="dxa"/>
            </w:tcMar>
            <w:vAlign w:val="center"/>
            <w:hideMark/>
          </w:tcPr>
          <w:p w:rsidR="00616E08" w:rsidRPr="00E0001E" w:rsidRDefault="0076494B" w:rsidP="00A92922">
            <w:pPr>
              <w:pStyle w:val="Default"/>
              <w:jc w:val="center"/>
            </w:pPr>
            <w:r>
              <w:t>22</w:t>
            </w:r>
          </w:p>
        </w:tc>
        <w:tc>
          <w:tcPr>
            <w:tcW w:w="550" w:type="pct"/>
            <w:shd w:val="clear" w:color="auto" w:fill="auto"/>
            <w:tcMar>
              <w:top w:w="15" w:type="dxa"/>
              <w:left w:w="15" w:type="dxa"/>
              <w:bottom w:w="0" w:type="dxa"/>
              <w:right w:w="15" w:type="dxa"/>
            </w:tcMar>
            <w:vAlign w:val="center"/>
            <w:hideMark/>
          </w:tcPr>
          <w:p w:rsidR="00616E08" w:rsidRPr="00E0001E" w:rsidRDefault="0076494B" w:rsidP="00A92922">
            <w:pPr>
              <w:pStyle w:val="Default"/>
              <w:jc w:val="center"/>
            </w:pPr>
            <w:r>
              <w:t>13</w:t>
            </w:r>
          </w:p>
        </w:tc>
        <w:tc>
          <w:tcPr>
            <w:tcW w:w="601" w:type="pct"/>
            <w:shd w:val="clear" w:color="auto" w:fill="auto"/>
            <w:tcMar>
              <w:top w:w="15" w:type="dxa"/>
              <w:left w:w="15" w:type="dxa"/>
              <w:bottom w:w="0" w:type="dxa"/>
              <w:right w:w="15" w:type="dxa"/>
            </w:tcMar>
            <w:vAlign w:val="center"/>
            <w:hideMark/>
          </w:tcPr>
          <w:p w:rsidR="00616E08" w:rsidRPr="00E0001E" w:rsidRDefault="0076494B" w:rsidP="00A92922">
            <w:pPr>
              <w:pStyle w:val="Default"/>
              <w:jc w:val="center"/>
            </w:pPr>
            <w:r>
              <w:t>6</w:t>
            </w:r>
          </w:p>
        </w:tc>
      </w:tr>
      <w:tr w:rsidR="00FF1399" w:rsidTr="00A92922">
        <w:trPr>
          <w:trHeight w:val="340"/>
        </w:trPr>
        <w:tc>
          <w:tcPr>
            <w:tcW w:w="2435" w:type="pct"/>
            <w:shd w:val="clear" w:color="auto" w:fill="auto"/>
            <w:tcMar>
              <w:top w:w="15" w:type="dxa"/>
              <w:left w:w="15" w:type="dxa"/>
              <w:bottom w:w="0" w:type="dxa"/>
              <w:right w:w="15" w:type="dxa"/>
            </w:tcMar>
            <w:vAlign w:val="center"/>
            <w:hideMark/>
          </w:tcPr>
          <w:p w:rsidR="00616E08" w:rsidRPr="00E0001E" w:rsidRDefault="0076494B" w:rsidP="00A92922">
            <w:pPr>
              <w:pStyle w:val="Default"/>
            </w:pPr>
            <w:r w:rsidRPr="00E0001E">
              <w:t>Eligible Child Minder</w:t>
            </w:r>
          </w:p>
        </w:tc>
        <w:tc>
          <w:tcPr>
            <w:tcW w:w="865" w:type="pct"/>
            <w:shd w:val="clear" w:color="auto" w:fill="auto"/>
            <w:tcMar>
              <w:top w:w="15" w:type="dxa"/>
              <w:left w:w="15" w:type="dxa"/>
              <w:bottom w:w="0" w:type="dxa"/>
              <w:right w:w="15" w:type="dxa"/>
            </w:tcMar>
            <w:vAlign w:val="center"/>
            <w:hideMark/>
          </w:tcPr>
          <w:p w:rsidR="00616E08" w:rsidRPr="00E0001E" w:rsidRDefault="0076494B" w:rsidP="00A92922">
            <w:pPr>
              <w:pStyle w:val="Default"/>
              <w:jc w:val="center"/>
            </w:pPr>
            <w:r>
              <w:t>26</w:t>
            </w:r>
          </w:p>
        </w:tc>
        <w:tc>
          <w:tcPr>
            <w:tcW w:w="549" w:type="pct"/>
            <w:shd w:val="clear" w:color="auto" w:fill="auto"/>
            <w:tcMar>
              <w:top w:w="15" w:type="dxa"/>
              <w:left w:w="15" w:type="dxa"/>
              <w:bottom w:w="0" w:type="dxa"/>
              <w:right w:w="15" w:type="dxa"/>
            </w:tcMar>
            <w:vAlign w:val="center"/>
            <w:hideMark/>
          </w:tcPr>
          <w:p w:rsidR="00616E08" w:rsidRPr="00E0001E" w:rsidRDefault="0076494B" w:rsidP="00A92922">
            <w:pPr>
              <w:pStyle w:val="Default"/>
              <w:jc w:val="center"/>
            </w:pPr>
            <w:r>
              <w:t>8</w:t>
            </w:r>
          </w:p>
        </w:tc>
        <w:tc>
          <w:tcPr>
            <w:tcW w:w="550" w:type="pct"/>
            <w:shd w:val="clear" w:color="auto" w:fill="auto"/>
            <w:tcMar>
              <w:top w:w="15" w:type="dxa"/>
              <w:left w:w="15" w:type="dxa"/>
              <w:bottom w:w="0" w:type="dxa"/>
              <w:right w:w="15" w:type="dxa"/>
            </w:tcMar>
            <w:vAlign w:val="center"/>
            <w:hideMark/>
          </w:tcPr>
          <w:p w:rsidR="00616E08" w:rsidRPr="00E0001E" w:rsidRDefault="0076494B" w:rsidP="00A92922">
            <w:pPr>
              <w:pStyle w:val="Default"/>
              <w:jc w:val="center"/>
            </w:pPr>
            <w:r>
              <w:t>6</w:t>
            </w:r>
          </w:p>
        </w:tc>
        <w:tc>
          <w:tcPr>
            <w:tcW w:w="601" w:type="pct"/>
            <w:shd w:val="clear" w:color="auto" w:fill="auto"/>
            <w:tcMar>
              <w:top w:w="15" w:type="dxa"/>
              <w:left w:w="15" w:type="dxa"/>
              <w:bottom w:w="0" w:type="dxa"/>
              <w:right w:w="15" w:type="dxa"/>
            </w:tcMar>
            <w:vAlign w:val="center"/>
            <w:hideMark/>
          </w:tcPr>
          <w:p w:rsidR="00616E08" w:rsidRPr="00E0001E" w:rsidRDefault="0076494B" w:rsidP="00A92922">
            <w:pPr>
              <w:pStyle w:val="Default"/>
              <w:jc w:val="center"/>
            </w:pPr>
            <w:r>
              <w:t>12</w:t>
            </w:r>
          </w:p>
        </w:tc>
      </w:tr>
      <w:tr w:rsidR="00FF1399" w:rsidTr="00A92922">
        <w:trPr>
          <w:trHeight w:val="340"/>
        </w:trPr>
        <w:tc>
          <w:tcPr>
            <w:tcW w:w="2435" w:type="pct"/>
            <w:shd w:val="clear" w:color="auto" w:fill="auto"/>
            <w:tcMar>
              <w:top w:w="15" w:type="dxa"/>
              <w:left w:w="15" w:type="dxa"/>
              <w:bottom w:w="0" w:type="dxa"/>
              <w:right w:w="15" w:type="dxa"/>
            </w:tcMar>
            <w:vAlign w:val="center"/>
            <w:hideMark/>
          </w:tcPr>
          <w:p w:rsidR="00616E08" w:rsidRPr="00E0001E" w:rsidRDefault="0076494B" w:rsidP="00A92922">
            <w:pPr>
              <w:pStyle w:val="Default"/>
              <w:rPr>
                <w:b/>
              </w:rPr>
            </w:pPr>
            <w:r w:rsidRPr="00E0001E">
              <w:rPr>
                <w:b/>
                <w:bCs/>
              </w:rPr>
              <w:t>Total</w:t>
            </w:r>
          </w:p>
        </w:tc>
        <w:tc>
          <w:tcPr>
            <w:tcW w:w="865" w:type="pct"/>
            <w:shd w:val="clear" w:color="auto" w:fill="auto"/>
            <w:tcMar>
              <w:top w:w="15" w:type="dxa"/>
              <w:left w:w="15" w:type="dxa"/>
              <w:bottom w:w="0" w:type="dxa"/>
              <w:right w:w="15" w:type="dxa"/>
            </w:tcMar>
            <w:vAlign w:val="center"/>
            <w:hideMark/>
          </w:tcPr>
          <w:p w:rsidR="00616E08" w:rsidRPr="00582F28" w:rsidRDefault="0076494B" w:rsidP="00A92922">
            <w:pPr>
              <w:pStyle w:val="Default"/>
              <w:jc w:val="center"/>
              <w:rPr>
                <w:b/>
              </w:rPr>
            </w:pPr>
            <w:r w:rsidRPr="00582F28">
              <w:rPr>
                <w:b/>
              </w:rPr>
              <w:t>90</w:t>
            </w:r>
          </w:p>
        </w:tc>
        <w:tc>
          <w:tcPr>
            <w:tcW w:w="549" w:type="pct"/>
            <w:shd w:val="clear" w:color="auto" w:fill="auto"/>
            <w:tcMar>
              <w:top w:w="15" w:type="dxa"/>
              <w:left w:w="15" w:type="dxa"/>
              <w:bottom w:w="0" w:type="dxa"/>
              <w:right w:w="15" w:type="dxa"/>
            </w:tcMar>
            <w:vAlign w:val="center"/>
            <w:hideMark/>
          </w:tcPr>
          <w:p w:rsidR="00616E08" w:rsidRPr="00582F28" w:rsidRDefault="0076494B" w:rsidP="00A92922">
            <w:pPr>
              <w:pStyle w:val="Default"/>
              <w:jc w:val="center"/>
              <w:rPr>
                <w:b/>
              </w:rPr>
            </w:pPr>
            <w:r w:rsidRPr="00582F28">
              <w:rPr>
                <w:b/>
              </w:rPr>
              <w:t>49</w:t>
            </w:r>
          </w:p>
        </w:tc>
        <w:tc>
          <w:tcPr>
            <w:tcW w:w="550" w:type="pct"/>
            <w:shd w:val="clear" w:color="auto" w:fill="auto"/>
            <w:tcMar>
              <w:top w:w="15" w:type="dxa"/>
              <w:left w:w="15" w:type="dxa"/>
              <w:bottom w:w="0" w:type="dxa"/>
              <w:right w:w="15" w:type="dxa"/>
            </w:tcMar>
            <w:vAlign w:val="center"/>
            <w:hideMark/>
          </w:tcPr>
          <w:p w:rsidR="00616E08" w:rsidRPr="00582F28" w:rsidRDefault="0076494B" w:rsidP="00A92922">
            <w:pPr>
              <w:pStyle w:val="Default"/>
              <w:jc w:val="center"/>
              <w:rPr>
                <w:b/>
              </w:rPr>
            </w:pPr>
            <w:r w:rsidRPr="00582F28">
              <w:rPr>
                <w:b/>
              </w:rPr>
              <w:t>22</w:t>
            </w:r>
          </w:p>
        </w:tc>
        <w:tc>
          <w:tcPr>
            <w:tcW w:w="601" w:type="pct"/>
            <w:shd w:val="clear" w:color="auto" w:fill="auto"/>
            <w:tcMar>
              <w:top w:w="15" w:type="dxa"/>
              <w:left w:w="15" w:type="dxa"/>
              <w:bottom w:w="0" w:type="dxa"/>
              <w:right w:w="15" w:type="dxa"/>
            </w:tcMar>
            <w:vAlign w:val="center"/>
            <w:hideMark/>
          </w:tcPr>
          <w:p w:rsidR="00616E08" w:rsidRPr="00582F28" w:rsidRDefault="0076494B" w:rsidP="00A92922">
            <w:pPr>
              <w:pStyle w:val="Default"/>
              <w:jc w:val="center"/>
              <w:rPr>
                <w:b/>
              </w:rPr>
            </w:pPr>
            <w:r w:rsidRPr="00582F28">
              <w:rPr>
                <w:b/>
              </w:rPr>
              <w:t>19</w:t>
            </w:r>
          </w:p>
        </w:tc>
      </w:tr>
      <w:tr w:rsidR="00FF1399" w:rsidTr="00A92922">
        <w:trPr>
          <w:trHeight w:val="340"/>
        </w:trPr>
        <w:tc>
          <w:tcPr>
            <w:tcW w:w="2435" w:type="pct"/>
            <w:shd w:val="clear" w:color="auto" w:fill="auto"/>
            <w:tcMar>
              <w:top w:w="15" w:type="dxa"/>
              <w:left w:w="15" w:type="dxa"/>
              <w:bottom w:w="0" w:type="dxa"/>
              <w:right w:w="15" w:type="dxa"/>
            </w:tcMar>
            <w:vAlign w:val="center"/>
            <w:hideMark/>
          </w:tcPr>
          <w:p w:rsidR="00616E08" w:rsidRPr="00E0001E" w:rsidRDefault="0076494B" w:rsidP="00A92922">
            <w:pPr>
              <w:pStyle w:val="Default"/>
              <w:rPr>
                <w:b/>
              </w:rPr>
            </w:pPr>
            <w:r w:rsidRPr="00E0001E">
              <w:rPr>
                <w:b/>
                <w:bCs/>
              </w:rPr>
              <w:t>%</w:t>
            </w:r>
          </w:p>
        </w:tc>
        <w:tc>
          <w:tcPr>
            <w:tcW w:w="865" w:type="pct"/>
            <w:shd w:val="clear" w:color="auto" w:fill="auto"/>
            <w:tcMar>
              <w:top w:w="15" w:type="dxa"/>
              <w:left w:w="15" w:type="dxa"/>
              <w:bottom w:w="0" w:type="dxa"/>
              <w:right w:w="15" w:type="dxa"/>
            </w:tcMar>
            <w:vAlign w:val="center"/>
            <w:hideMark/>
          </w:tcPr>
          <w:p w:rsidR="00616E08" w:rsidRPr="00582F28" w:rsidRDefault="0076494B" w:rsidP="00A92922">
            <w:pPr>
              <w:pStyle w:val="Default"/>
              <w:jc w:val="center"/>
              <w:rPr>
                <w:b/>
              </w:rPr>
            </w:pPr>
          </w:p>
        </w:tc>
        <w:tc>
          <w:tcPr>
            <w:tcW w:w="549" w:type="pct"/>
            <w:shd w:val="clear" w:color="auto" w:fill="auto"/>
            <w:tcMar>
              <w:top w:w="15" w:type="dxa"/>
              <w:left w:w="15" w:type="dxa"/>
              <w:bottom w:w="0" w:type="dxa"/>
              <w:right w:w="15" w:type="dxa"/>
            </w:tcMar>
            <w:vAlign w:val="center"/>
            <w:hideMark/>
          </w:tcPr>
          <w:p w:rsidR="00616E08" w:rsidRPr="00582F28" w:rsidRDefault="0076494B" w:rsidP="00A92922">
            <w:pPr>
              <w:pStyle w:val="Default"/>
              <w:jc w:val="center"/>
              <w:rPr>
                <w:b/>
              </w:rPr>
            </w:pPr>
            <w:r w:rsidRPr="00582F28">
              <w:rPr>
                <w:b/>
              </w:rPr>
              <w:t>54.5%</w:t>
            </w:r>
          </w:p>
        </w:tc>
        <w:tc>
          <w:tcPr>
            <w:tcW w:w="550" w:type="pct"/>
            <w:shd w:val="clear" w:color="auto" w:fill="auto"/>
            <w:tcMar>
              <w:top w:w="15" w:type="dxa"/>
              <w:left w:w="15" w:type="dxa"/>
              <w:bottom w:w="0" w:type="dxa"/>
              <w:right w:w="15" w:type="dxa"/>
            </w:tcMar>
            <w:vAlign w:val="center"/>
            <w:hideMark/>
          </w:tcPr>
          <w:p w:rsidR="00616E08" w:rsidRPr="00582F28" w:rsidRDefault="0076494B" w:rsidP="00A92922">
            <w:pPr>
              <w:pStyle w:val="Default"/>
              <w:jc w:val="center"/>
              <w:rPr>
                <w:b/>
              </w:rPr>
            </w:pPr>
            <w:r w:rsidRPr="00582F28">
              <w:rPr>
                <w:b/>
              </w:rPr>
              <w:t>24.4%</w:t>
            </w:r>
          </w:p>
        </w:tc>
        <w:tc>
          <w:tcPr>
            <w:tcW w:w="601" w:type="pct"/>
            <w:shd w:val="clear" w:color="auto" w:fill="auto"/>
            <w:tcMar>
              <w:top w:w="15" w:type="dxa"/>
              <w:left w:w="15" w:type="dxa"/>
              <w:bottom w:w="0" w:type="dxa"/>
              <w:right w:w="15" w:type="dxa"/>
            </w:tcMar>
            <w:vAlign w:val="center"/>
            <w:hideMark/>
          </w:tcPr>
          <w:p w:rsidR="00616E08" w:rsidRPr="00582F28" w:rsidRDefault="0076494B" w:rsidP="00A92922">
            <w:pPr>
              <w:pStyle w:val="Default"/>
              <w:jc w:val="center"/>
              <w:rPr>
                <w:b/>
              </w:rPr>
            </w:pPr>
            <w:r w:rsidRPr="00582F28">
              <w:rPr>
                <w:b/>
              </w:rPr>
              <w:t>21.1%</w:t>
            </w:r>
          </w:p>
        </w:tc>
      </w:tr>
    </w:tbl>
    <w:p w:rsidR="00616E08" w:rsidRDefault="0076494B" w:rsidP="00616E08">
      <w:pPr>
        <w:pStyle w:val="Default"/>
        <w:rPr>
          <w:b/>
        </w:rPr>
      </w:pPr>
    </w:p>
    <w:p w:rsidR="00616E08" w:rsidRDefault="0076494B" w:rsidP="00616E08">
      <w:pPr>
        <w:pStyle w:val="Default"/>
        <w:rPr>
          <w:b/>
        </w:rPr>
      </w:pPr>
      <w:r w:rsidRPr="00E0001E">
        <w:rPr>
          <w:b/>
        </w:rPr>
        <w:t>Q3 Comments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36"/>
      </w:tblGrid>
      <w:tr w:rsidR="00FF1399" w:rsidTr="00A92922">
        <w:trPr>
          <w:trHeight w:val="20"/>
        </w:trPr>
        <w:tc>
          <w:tcPr>
            <w:tcW w:w="5000" w:type="pct"/>
            <w:shd w:val="clear" w:color="auto" w:fill="auto"/>
            <w:tcMar>
              <w:top w:w="15" w:type="dxa"/>
              <w:left w:w="108" w:type="dxa"/>
              <w:bottom w:w="0" w:type="dxa"/>
              <w:right w:w="108" w:type="dxa"/>
            </w:tcMar>
            <w:vAlign w:val="center"/>
            <w:hideMark/>
          </w:tcPr>
          <w:p w:rsidR="00616E08" w:rsidRPr="00E0001E" w:rsidRDefault="0076494B" w:rsidP="00A92922">
            <w:pPr>
              <w:pStyle w:val="Default"/>
            </w:pPr>
            <w:r w:rsidRPr="00E0001E">
              <w:t xml:space="preserve">We qualify for this supplement so wouldn't want to see it discontinued. </w:t>
            </w:r>
          </w:p>
        </w:tc>
      </w:tr>
      <w:tr w:rsidR="00FF1399" w:rsidTr="00A92922">
        <w:trPr>
          <w:trHeight w:val="20"/>
        </w:trPr>
        <w:tc>
          <w:tcPr>
            <w:tcW w:w="5000" w:type="pct"/>
            <w:shd w:val="clear" w:color="auto" w:fill="auto"/>
            <w:tcMar>
              <w:top w:w="15" w:type="dxa"/>
              <w:left w:w="108" w:type="dxa"/>
              <w:bottom w:w="0" w:type="dxa"/>
              <w:right w:w="108" w:type="dxa"/>
            </w:tcMar>
            <w:vAlign w:val="center"/>
            <w:hideMark/>
          </w:tcPr>
          <w:p w:rsidR="00616E08" w:rsidRPr="00E0001E" w:rsidRDefault="0076494B" w:rsidP="00A92922">
            <w:pPr>
              <w:pStyle w:val="Default"/>
            </w:pPr>
            <w:r w:rsidRPr="00E0001E">
              <w:t>No alternative methodologies should be used to fund Rurality Supplement</w:t>
            </w:r>
          </w:p>
        </w:tc>
      </w:tr>
      <w:tr w:rsidR="00FF1399" w:rsidTr="00A92922">
        <w:trPr>
          <w:trHeight w:val="20"/>
        </w:trPr>
        <w:tc>
          <w:tcPr>
            <w:tcW w:w="5000" w:type="pct"/>
            <w:shd w:val="clear" w:color="auto" w:fill="auto"/>
            <w:tcMar>
              <w:top w:w="15" w:type="dxa"/>
              <w:left w:w="108" w:type="dxa"/>
              <w:bottom w:w="0" w:type="dxa"/>
              <w:right w:w="108" w:type="dxa"/>
            </w:tcMar>
            <w:vAlign w:val="center"/>
            <w:hideMark/>
          </w:tcPr>
          <w:p w:rsidR="00616E08" w:rsidRPr="00E0001E" w:rsidRDefault="0076494B" w:rsidP="00A92922">
            <w:pPr>
              <w:pStyle w:val="Default"/>
            </w:pPr>
            <w:r w:rsidRPr="00E0001E">
              <w:t xml:space="preserve">Being a small setting it will be difficult to </w:t>
            </w:r>
            <w:r w:rsidRPr="00E0001E">
              <w:t>recoup lost funding from the low numbers of families using our service. A smaller rural supplement would be better than nothing.</w:t>
            </w:r>
          </w:p>
        </w:tc>
      </w:tr>
      <w:tr w:rsidR="00FF1399" w:rsidTr="00A92922">
        <w:trPr>
          <w:trHeight w:val="20"/>
        </w:trPr>
        <w:tc>
          <w:tcPr>
            <w:tcW w:w="5000" w:type="pct"/>
            <w:shd w:val="clear" w:color="auto" w:fill="auto"/>
            <w:tcMar>
              <w:top w:w="15" w:type="dxa"/>
              <w:left w:w="108" w:type="dxa"/>
              <w:bottom w:w="0" w:type="dxa"/>
              <w:right w:w="108" w:type="dxa"/>
            </w:tcMar>
            <w:vAlign w:val="center"/>
            <w:hideMark/>
          </w:tcPr>
          <w:p w:rsidR="00616E08" w:rsidRPr="00E0001E" w:rsidRDefault="0076494B" w:rsidP="00A92922">
            <w:pPr>
              <w:pStyle w:val="Default"/>
            </w:pPr>
            <w:r w:rsidRPr="00E0001E">
              <w:lastRenderedPageBreak/>
              <w:t>If this is going to affect the base rate.</w:t>
            </w:r>
          </w:p>
        </w:tc>
      </w:tr>
      <w:tr w:rsidR="00FF1399" w:rsidTr="00A92922">
        <w:trPr>
          <w:trHeight w:val="20"/>
        </w:trPr>
        <w:tc>
          <w:tcPr>
            <w:tcW w:w="5000" w:type="pct"/>
            <w:shd w:val="clear" w:color="auto" w:fill="auto"/>
            <w:tcMar>
              <w:top w:w="15" w:type="dxa"/>
              <w:left w:w="108" w:type="dxa"/>
              <w:bottom w:w="0" w:type="dxa"/>
              <w:right w:w="108" w:type="dxa"/>
            </w:tcMar>
            <w:vAlign w:val="center"/>
            <w:hideMark/>
          </w:tcPr>
          <w:p w:rsidR="00616E08" w:rsidRPr="00E0001E" w:rsidRDefault="0076494B" w:rsidP="00A92922">
            <w:pPr>
              <w:pStyle w:val="Default"/>
            </w:pPr>
            <w:r w:rsidRPr="00E0001E">
              <w:t>Settings that already receive this shouldn't lose out due to lack of government dat</w:t>
            </w:r>
            <w:r w:rsidRPr="00E0001E">
              <w:t>a.</w:t>
            </w:r>
          </w:p>
        </w:tc>
      </w:tr>
      <w:tr w:rsidR="00FF1399" w:rsidTr="00A92922">
        <w:trPr>
          <w:trHeight w:val="20"/>
        </w:trPr>
        <w:tc>
          <w:tcPr>
            <w:tcW w:w="5000" w:type="pct"/>
            <w:shd w:val="clear" w:color="auto" w:fill="auto"/>
            <w:tcMar>
              <w:top w:w="15" w:type="dxa"/>
              <w:left w:w="108" w:type="dxa"/>
              <w:bottom w:w="0" w:type="dxa"/>
              <w:right w:w="108" w:type="dxa"/>
            </w:tcMar>
            <w:vAlign w:val="center"/>
            <w:hideMark/>
          </w:tcPr>
          <w:p w:rsidR="00616E08" w:rsidRPr="00E0001E" w:rsidRDefault="0076494B" w:rsidP="00A92922">
            <w:pPr>
              <w:pStyle w:val="Default"/>
            </w:pPr>
            <w:r w:rsidRPr="00E0001E">
              <w:t>Keep it the same or increase</w:t>
            </w:r>
          </w:p>
        </w:tc>
      </w:tr>
      <w:tr w:rsidR="00FF1399" w:rsidTr="00A92922">
        <w:trPr>
          <w:trHeight w:val="20"/>
        </w:trPr>
        <w:tc>
          <w:tcPr>
            <w:tcW w:w="5000" w:type="pct"/>
            <w:shd w:val="clear" w:color="auto" w:fill="auto"/>
            <w:tcMar>
              <w:top w:w="15" w:type="dxa"/>
              <w:left w:w="15" w:type="dxa"/>
              <w:bottom w:w="0" w:type="dxa"/>
              <w:right w:w="15" w:type="dxa"/>
            </w:tcMar>
            <w:vAlign w:val="bottom"/>
            <w:hideMark/>
          </w:tcPr>
          <w:p w:rsidR="00616E08" w:rsidRPr="00FF0193" w:rsidRDefault="0076494B" w:rsidP="00A92922">
            <w:pPr>
              <w:pStyle w:val="Default"/>
            </w:pPr>
            <w:r w:rsidRPr="00FF0193">
              <w:rPr>
                <w:lang w:val="en-US"/>
              </w:rPr>
              <w:t>The rurality supplement helps to ensure our sustainability during quiet years.</w:t>
            </w:r>
          </w:p>
        </w:tc>
      </w:tr>
      <w:tr w:rsidR="00FF1399" w:rsidTr="00A92922">
        <w:trPr>
          <w:trHeight w:val="20"/>
        </w:trPr>
        <w:tc>
          <w:tcPr>
            <w:tcW w:w="5000" w:type="pct"/>
            <w:shd w:val="clear" w:color="auto" w:fill="auto"/>
            <w:tcMar>
              <w:top w:w="15" w:type="dxa"/>
              <w:left w:w="15" w:type="dxa"/>
              <w:bottom w:w="0" w:type="dxa"/>
              <w:right w:w="15" w:type="dxa"/>
            </w:tcMar>
            <w:vAlign w:val="bottom"/>
          </w:tcPr>
          <w:p w:rsidR="00616E08" w:rsidRPr="00FF0193" w:rsidRDefault="0076494B" w:rsidP="00A92922">
            <w:pPr>
              <w:pStyle w:val="Default"/>
              <w:rPr>
                <w:lang w:val="en-US"/>
              </w:rPr>
            </w:pPr>
            <w:r w:rsidRPr="00FF0193">
              <w:t xml:space="preserve">Lifestyle choice for some families rather than deprivation where money would be better spent - again relevant figures would provide better </w:t>
            </w:r>
            <w:r w:rsidRPr="00FF0193">
              <w:t>basis for judgement</w:t>
            </w:r>
          </w:p>
        </w:tc>
      </w:tr>
      <w:tr w:rsidR="00FF1399" w:rsidTr="00A92922">
        <w:trPr>
          <w:trHeight w:val="20"/>
        </w:trPr>
        <w:tc>
          <w:tcPr>
            <w:tcW w:w="5000" w:type="pct"/>
            <w:shd w:val="clear" w:color="auto" w:fill="auto"/>
            <w:tcMar>
              <w:top w:w="15" w:type="dxa"/>
              <w:left w:w="15" w:type="dxa"/>
              <w:bottom w:w="0" w:type="dxa"/>
              <w:right w:w="15" w:type="dxa"/>
            </w:tcMar>
            <w:vAlign w:val="bottom"/>
          </w:tcPr>
          <w:p w:rsidR="00616E08" w:rsidRPr="00FF0193" w:rsidRDefault="0076494B" w:rsidP="00A92922">
            <w:pPr>
              <w:pStyle w:val="Default"/>
              <w:rPr>
                <w:lang w:val="en-US"/>
              </w:rPr>
            </w:pPr>
            <w:r w:rsidRPr="00FF0193">
              <w:t>It is difficult to sustain numbers when you are in a rural location.</w:t>
            </w:r>
          </w:p>
        </w:tc>
      </w:tr>
    </w:tbl>
    <w:p w:rsidR="00616E08" w:rsidRDefault="0076494B" w:rsidP="00616E08">
      <w:pPr>
        <w:pStyle w:val="Default"/>
        <w:rPr>
          <w:b/>
        </w:rPr>
      </w:pPr>
    </w:p>
    <w:p w:rsidR="00616E08" w:rsidRDefault="0076494B" w:rsidP="00616E08">
      <w:pPr>
        <w:pStyle w:val="Default"/>
        <w:numPr>
          <w:ilvl w:val="0"/>
          <w:numId w:val="2"/>
        </w:numPr>
        <w:jc w:val="both"/>
        <w:rPr>
          <w:b/>
        </w:rPr>
      </w:pPr>
      <w:r w:rsidRPr="00CD2C23">
        <w:rPr>
          <w:b/>
        </w:rPr>
        <w:t>Other Allowable Supplements</w:t>
      </w:r>
    </w:p>
    <w:p w:rsidR="00616E08" w:rsidRPr="00CD2C23" w:rsidRDefault="0076494B" w:rsidP="00616E08">
      <w:pPr>
        <w:pStyle w:val="Default"/>
        <w:jc w:val="both"/>
      </w:pPr>
      <w:r w:rsidRPr="00CD2C23">
        <w:t>DfE Guidance allows other supplements</w:t>
      </w:r>
      <w:r>
        <w:t>, as follows</w:t>
      </w:r>
      <w:r w:rsidRPr="00CD2C23">
        <w:t>:</w:t>
      </w:r>
    </w:p>
    <w:p w:rsidR="00616E08" w:rsidRPr="00CD2C23" w:rsidRDefault="0076494B" w:rsidP="00616E08">
      <w:pPr>
        <w:pStyle w:val="Default"/>
        <w:numPr>
          <w:ilvl w:val="0"/>
          <w:numId w:val="4"/>
        </w:numPr>
        <w:jc w:val="both"/>
      </w:pPr>
      <w:r w:rsidRPr="00CD2C23">
        <w:rPr>
          <w:iCs/>
        </w:rPr>
        <w:t xml:space="preserve">Flexibility </w:t>
      </w:r>
    </w:p>
    <w:p w:rsidR="00616E08" w:rsidRPr="00CD2C23" w:rsidRDefault="0076494B" w:rsidP="00616E08">
      <w:pPr>
        <w:pStyle w:val="Default"/>
        <w:numPr>
          <w:ilvl w:val="0"/>
          <w:numId w:val="4"/>
        </w:numPr>
        <w:jc w:val="both"/>
      </w:pPr>
      <w:r w:rsidRPr="00CD2C23">
        <w:rPr>
          <w:iCs/>
        </w:rPr>
        <w:t>Quality</w:t>
      </w:r>
      <w:r w:rsidRPr="00CD2C23">
        <w:t xml:space="preserve"> </w:t>
      </w:r>
    </w:p>
    <w:p w:rsidR="00616E08" w:rsidRPr="00CD2C23" w:rsidRDefault="0076494B" w:rsidP="00616E08">
      <w:pPr>
        <w:pStyle w:val="Default"/>
        <w:numPr>
          <w:ilvl w:val="0"/>
          <w:numId w:val="4"/>
        </w:numPr>
        <w:jc w:val="both"/>
      </w:pPr>
      <w:r w:rsidRPr="00CD2C23">
        <w:t>E</w:t>
      </w:r>
      <w:r w:rsidRPr="00CD2C23">
        <w:rPr>
          <w:iCs/>
        </w:rPr>
        <w:t>nglish as an additional language (EAL)</w:t>
      </w:r>
    </w:p>
    <w:p w:rsidR="00616E08" w:rsidRDefault="0076494B" w:rsidP="00616E08">
      <w:pPr>
        <w:pStyle w:val="Default"/>
        <w:jc w:val="both"/>
      </w:pPr>
    </w:p>
    <w:p w:rsidR="00616E08" w:rsidRPr="00CD2C23" w:rsidRDefault="0076494B" w:rsidP="00616E08">
      <w:pPr>
        <w:pStyle w:val="Default"/>
        <w:jc w:val="both"/>
      </w:pPr>
      <w:r w:rsidRPr="00CD2C23">
        <w:t xml:space="preserve">Proposal </w:t>
      </w:r>
      <w:r>
        <w:t xml:space="preserve">is </w:t>
      </w:r>
      <w:r w:rsidRPr="00CD2C23">
        <w:t>not</w:t>
      </w:r>
      <w:r>
        <w:t xml:space="preserve"> to use any further supplements, as s</w:t>
      </w:r>
      <w:r w:rsidRPr="00CD2C23">
        <w:t xml:space="preserve">ome </w:t>
      </w:r>
      <w:r>
        <w:t xml:space="preserve">were </w:t>
      </w:r>
      <w:r w:rsidRPr="00CD2C23">
        <w:t>used previously and discontinued as most settings qualified</w:t>
      </w:r>
      <w:r>
        <w:t>, plus there is a d</w:t>
      </w:r>
      <w:r w:rsidRPr="00CD2C23">
        <w:t>esire to maintain base rate increases</w:t>
      </w:r>
      <w:r>
        <w:t>.</w:t>
      </w:r>
    </w:p>
    <w:p w:rsidR="00616E08" w:rsidRDefault="0076494B" w:rsidP="00616E08">
      <w:pPr>
        <w:pStyle w:val="Default"/>
        <w:ind w:left="360"/>
        <w:rPr>
          <w:b/>
        </w:rPr>
      </w:pPr>
    </w:p>
    <w:p w:rsidR="00616E08" w:rsidRDefault="0076494B" w:rsidP="00616E08">
      <w:pPr>
        <w:pStyle w:val="Default"/>
        <w:rPr>
          <w:b/>
          <w:i/>
          <w:iCs/>
        </w:rPr>
      </w:pPr>
      <w:r w:rsidRPr="00CD2C23">
        <w:rPr>
          <w:b/>
          <w:i/>
          <w:iCs/>
        </w:rPr>
        <w:t>Q4. Do you agree that none of the other allowable supplements should be included in the Lanc</w:t>
      </w:r>
      <w:r w:rsidRPr="00CD2C23">
        <w:rPr>
          <w:b/>
          <w:i/>
          <w:iCs/>
        </w:rPr>
        <w:t>ashire EYNFF 2018/19?</w:t>
      </w:r>
    </w:p>
    <w:p w:rsidR="00616E08" w:rsidRDefault="0076494B" w:rsidP="00616E08">
      <w:pPr>
        <w:pStyle w:val="Default"/>
        <w:rPr>
          <w:b/>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01"/>
        <w:gridCol w:w="1842"/>
        <w:gridCol w:w="921"/>
        <w:gridCol w:w="863"/>
        <w:gridCol w:w="1209"/>
      </w:tblGrid>
      <w:tr w:rsidR="00FF1399" w:rsidTr="00A92922">
        <w:trPr>
          <w:trHeight w:val="340"/>
        </w:trPr>
        <w:tc>
          <w:tcPr>
            <w:tcW w:w="2517" w:type="pct"/>
            <w:shd w:val="clear" w:color="auto" w:fill="auto"/>
            <w:tcMar>
              <w:top w:w="15" w:type="dxa"/>
              <w:left w:w="15" w:type="dxa"/>
              <w:bottom w:w="0" w:type="dxa"/>
              <w:right w:w="15" w:type="dxa"/>
            </w:tcMar>
            <w:vAlign w:val="center"/>
            <w:hideMark/>
          </w:tcPr>
          <w:p w:rsidR="00616E08" w:rsidRPr="00CD2C23" w:rsidRDefault="0076494B" w:rsidP="00A92922">
            <w:pPr>
              <w:pStyle w:val="Default"/>
              <w:rPr>
                <w:b/>
              </w:rPr>
            </w:pPr>
          </w:p>
        </w:tc>
        <w:tc>
          <w:tcPr>
            <w:tcW w:w="946" w:type="pct"/>
            <w:shd w:val="clear" w:color="auto" w:fill="auto"/>
            <w:tcMar>
              <w:top w:w="15" w:type="dxa"/>
              <w:left w:w="15" w:type="dxa"/>
              <w:bottom w:w="0" w:type="dxa"/>
              <w:right w:w="15" w:type="dxa"/>
            </w:tcMar>
            <w:vAlign w:val="center"/>
            <w:hideMark/>
          </w:tcPr>
          <w:p w:rsidR="00616E08" w:rsidRPr="00CD2C23" w:rsidRDefault="0076494B" w:rsidP="00A92922">
            <w:pPr>
              <w:pStyle w:val="Default"/>
              <w:jc w:val="center"/>
              <w:rPr>
                <w:b/>
              </w:rPr>
            </w:pPr>
            <w:r w:rsidRPr="00CD2C23">
              <w:rPr>
                <w:b/>
                <w:bCs/>
              </w:rPr>
              <w:t>Responses</w:t>
            </w:r>
          </w:p>
        </w:tc>
        <w:tc>
          <w:tcPr>
            <w:tcW w:w="473" w:type="pct"/>
            <w:shd w:val="clear" w:color="auto" w:fill="auto"/>
            <w:tcMar>
              <w:top w:w="15" w:type="dxa"/>
              <w:left w:w="15" w:type="dxa"/>
              <w:bottom w:w="0" w:type="dxa"/>
              <w:right w:w="15" w:type="dxa"/>
            </w:tcMar>
            <w:vAlign w:val="center"/>
            <w:hideMark/>
          </w:tcPr>
          <w:p w:rsidR="00616E08" w:rsidRPr="00CD2C23" w:rsidRDefault="0076494B" w:rsidP="00A92922">
            <w:pPr>
              <w:pStyle w:val="Default"/>
              <w:jc w:val="center"/>
              <w:rPr>
                <w:b/>
              </w:rPr>
            </w:pPr>
            <w:r w:rsidRPr="00CD2C23">
              <w:rPr>
                <w:b/>
                <w:bCs/>
              </w:rPr>
              <w:t>Yes</w:t>
            </w:r>
          </w:p>
        </w:tc>
        <w:tc>
          <w:tcPr>
            <w:tcW w:w="443" w:type="pct"/>
            <w:shd w:val="clear" w:color="auto" w:fill="auto"/>
            <w:tcMar>
              <w:top w:w="15" w:type="dxa"/>
              <w:left w:w="15" w:type="dxa"/>
              <w:bottom w:w="0" w:type="dxa"/>
              <w:right w:w="15" w:type="dxa"/>
            </w:tcMar>
            <w:vAlign w:val="center"/>
            <w:hideMark/>
          </w:tcPr>
          <w:p w:rsidR="00616E08" w:rsidRPr="00CD2C23" w:rsidRDefault="0076494B" w:rsidP="00A92922">
            <w:pPr>
              <w:pStyle w:val="Default"/>
              <w:jc w:val="center"/>
              <w:rPr>
                <w:b/>
              </w:rPr>
            </w:pPr>
            <w:r w:rsidRPr="00CD2C23">
              <w:rPr>
                <w:b/>
                <w:bCs/>
              </w:rPr>
              <w:t>No</w:t>
            </w:r>
          </w:p>
        </w:tc>
        <w:tc>
          <w:tcPr>
            <w:tcW w:w="621" w:type="pct"/>
            <w:shd w:val="clear" w:color="auto" w:fill="auto"/>
            <w:tcMar>
              <w:top w:w="15" w:type="dxa"/>
              <w:left w:w="15" w:type="dxa"/>
              <w:bottom w:w="0" w:type="dxa"/>
              <w:right w:w="15" w:type="dxa"/>
            </w:tcMar>
            <w:vAlign w:val="center"/>
            <w:hideMark/>
          </w:tcPr>
          <w:p w:rsidR="00616E08" w:rsidRPr="00CD2C23" w:rsidRDefault="0076494B" w:rsidP="00A92922">
            <w:pPr>
              <w:pStyle w:val="Default"/>
              <w:jc w:val="center"/>
              <w:rPr>
                <w:b/>
              </w:rPr>
            </w:pPr>
            <w:r w:rsidRPr="00CD2C23">
              <w:rPr>
                <w:b/>
                <w:bCs/>
              </w:rPr>
              <w:t>Not sure</w:t>
            </w:r>
          </w:p>
        </w:tc>
      </w:tr>
      <w:tr w:rsidR="00FF1399" w:rsidTr="00A92922">
        <w:trPr>
          <w:trHeight w:val="340"/>
        </w:trPr>
        <w:tc>
          <w:tcPr>
            <w:tcW w:w="2517" w:type="pct"/>
            <w:shd w:val="clear" w:color="auto" w:fill="auto"/>
            <w:tcMar>
              <w:top w:w="15" w:type="dxa"/>
              <w:left w:w="15" w:type="dxa"/>
              <w:bottom w:w="0" w:type="dxa"/>
              <w:right w:w="15" w:type="dxa"/>
            </w:tcMar>
            <w:vAlign w:val="center"/>
            <w:hideMark/>
          </w:tcPr>
          <w:p w:rsidR="00616E08" w:rsidRPr="00CD2C23" w:rsidRDefault="0076494B" w:rsidP="00A92922">
            <w:pPr>
              <w:pStyle w:val="Default"/>
            </w:pPr>
            <w:r w:rsidRPr="00CD2C23">
              <w:t>Nursery School</w:t>
            </w:r>
          </w:p>
        </w:tc>
        <w:tc>
          <w:tcPr>
            <w:tcW w:w="946" w:type="pct"/>
            <w:shd w:val="clear" w:color="auto" w:fill="auto"/>
            <w:tcMar>
              <w:top w:w="15" w:type="dxa"/>
              <w:left w:w="15" w:type="dxa"/>
              <w:bottom w:w="0" w:type="dxa"/>
              <w:right w:w="15" w:type="dxa"/>
            </w:tcMar>
            <w:vAlign w:val="center"/>
            <w:hideMark/>
          </w:tcPr>
          <w:p w:rsidR="00616E08" w:rsidRPr="00CD2C23" w:rsidRDefault="0076494B" w:rsidP="00A92922">
            <w:pPr>
              <w:pStyle w:val="Default"/>
              <w:jc w:val="center"/>
            </w:pPr>
            <w:r>
              <w:t>15</w:t>
            </w:r>
          </w:p>
        </w:tc>
        <w:tc>
          <w:tcPr>
            <w:tcW w:w="473" w:type="pct"/>
            <w:shd w:val="clear" w:color="auto" w:fill="auto"/>
            <w:tcMar>
              <w:top w:w="15" w:type="dxa"/>
              <w:left w:w="15" w:type="dxa"/>
              <w:bottom w:w="0" w:type="dxa"/>
              <w:right w:w="15" w:type="dxa"/>
            </w:tcMar>
            <w:vAlign w:val="center"/>
            <w:hideMark/>
          </w:tcPr>
          <w:p w:rsidR="00616E08" w:rsidRPr="00CD2C23" w:rsidRDefault="0076494B" w:rsidP="00A92922">
            <w:pPr>
              <w:pStyle w:val="Default"/>
              <w:jc w:val="center"/>
            </w:pPr>
            <w:r>
              <w:t>6</w:t>
            </w:r>
          </w:p>
        </w:tc>
        <w:tc>
          <w:tcPr>
            <w:tcW w:w="443" w:type="pct"/>
            <w:shd w:val="clear" w:color="auto" w:fill="auto"/>
            <w:tcMar>
              <w:top w:w="15" w:type="dxa"/>
              <w:left w:w="15" w:type="dxa"/>
              <w:bottom w:w="0" w:type="dxa"/>
              <w:right w:w="15" w:type="dxa"/>
            </w:tcMar>
            <w:vAlign w:val="center"/>
            <w:hideMark/>
          </w:tcPr>
          <w:p w:rsidR="00616E08" w:rsidRPr="00CD2C23" w:rsidRDefault="0076494B" w:rsidP="00A92922">
            <w:pPr>
              <w:pStyle w:val="Default"/>
              <w:jc w:val="center"/>
            </w:pPr>
            <w:r>
              <w:t>7</w:t>
            </w:r>
          </w:p>
        </w:tc>
        <w:tc>
          <w:tcPr>
            <w:tcW w:w="621" w:type="pct"/>
            <w:shd w:val="clear" w:color="auto" w:fill="auto"/>
            <w:tcMar>
              <w:top w:w="15" w:type="dxa"/>
              <w:left w:w="15" w:type="dxa"/>
              <w:bottom w:w="0" w:type="dxa"/>
              <w:right w:w="15" w:type="dxa"/>
            </w:tcMar>
            <w:vAlign w:val="center"/>
            <w:hideMark/>
          </w:tcPr>
          <w:p w:rsidR="00616E08" w:rsidRPr="00CD2C23" w:rsidRDefault="0076494B" w:rsidP="00A92922">
            <w:pPr>
              <w:pStyle w:val="Default"/>
              <w:jc w:val="center"/>
            </w:pPr>
            <w:r>
              <w:t>2</w:t>
            </w:r>
          </w:p>
        </w:tc>
      </w:tr>
      <w:tr w:rsidR="00FF1399" w:rsidTr="00A92922">
        <w:trPr>
          <w:trHeight w:val="340"/>
        </w:trPr>
        <w:tc>
          <w:tcPr>
            <w:tcW w:w="2517" w:type="pct"/>
            <w:shd w:val="clear" w:color="auto" w:fill="auto"/>
            <w:tcMar>
              <w:top w:w="15" w:type="dxa"/>
              <w:left w:w="15" w:type="dxa"/>
              <w:bottom w:w="0" w:type="dxa"/>
              <w:right w:w="15" w:type="dxa"/>
            </w:tcMar>
            <w:vAlign w:val="center"/>
            <w:hideMark/>
          </w:tcPr>
          <w:p w:rsidR="00616E08" w:rsidRPr="00CD2C23" w:rsidRDefault="0076494B" w:rsidP="00A92922">
            <w:pPr>
              <w:pStyle w:val="Default"/>
            </w:pPr>
            <w:r w:rsidRPr="00CD2C23">
              <w:rPr>
                <w:lang w:val="en-US"/>
              </w:rPr>
              <w:t>Primary School with Nursery Class</w:t>
            </w:r>
          </w:p>
        </w:tc>
        <w:tc>
          <w:tcPr>
            <w:tcW w:w="946" w:type="pct"/>
            <w:shd w:val="clear" w:color="auto" w:fill="auto"/>
            <w:tcMar>
              <w:top w:w="15" w:type="dxa"/>
              <w:left w:w="15" w:type="dxa"/>
              <w:bottom w:w="0" w:type="dxa"/>
              <w:right w:w="15" w:type="dxa"/>
            </w:tcMar>
            <w:vAlign w:val="center"/>
            <w:hideMark/>
          </w:tcPr>
          <w:p w:rsidR="00616E08" w:rsidRPr="00CD2C23" w:rsidRDefault="0076494B" w:rsidP="00A92922">
            <w:pPr>
              <w:pStyle w:val="Default"/>
              <w:jc w:val="center"/>
            </w:pPr>
            <w:r>
              <w:t>8</w:t>
            </w:r>
          </w:p>
        </w:tc>
        <w:tc>
          <w:tcPr>
            <w:tcW w:w="473" w:type="pct"/>
            <w:shd w:val="clear" w:color="auto" w:fill="auto"/>
            <w:tcMar>
              <w:top w:w="15" w:type="dxa"/>
              <w:left w:w="15" w:type="dxa"/>
              <w:bottom w:w="0" w:type="dxa"/>
              <w:right w:w="15" w:type="dxa"/>
            </w:tcMar>
            <w:vAlign w:val="center"/>
            <w:hideMark/>
          </w:tcPr>
          <w:p w:rsidR="00616E08" w:rsidRPr="00CD2C23" w:rsidRDefault="0076494B" w:rsidP="00A92922">
            <w:pPr>
              <w:pStyle w:val="Default"/>
              <w:jc w:val="center"/>
            </w:pPr>
            <w:r>
              <w:t>5</w:t>
            </w:r>
          </w:p>
        </w:tc>
        <w:tc>
          <w:tcPr>
            <w:tcW w:w="443" w:type="pct"/>
            <w:shd w:val="clear" w:color="auto" w:fill="auto"/>
            <w:tcMar>
              <w:top w:w="15" w:type="dxa"/>
              <w:left w:w="15" w:type="dxa"/>
              <w:bottom w:w="0" w:type="dxa"/>
              <w:right w:w="15" w:type="dxa"/>
            </w:tcMar>
            <w:vAlign w:val="center"/>
            <w:hideMark/>
          </w:tcPr>
          <w:p w:rsidR="00616E08" w:rsidRPr="00CD2C23" w:rsidRDefault="0076494B" w:rsidP="00A92922">
            <w:pPr>
              <w:pStyle w:val="Default"/>
              <w:jc w:val="center"/>
            </w:pPr>
            <w:r>
              <w:t>1</w:t>
            </w:r>
          </w:p>
        </w:tc>
        <w:tc>
          <w:tcPr>
            <w:tcW w:w="621" w:type="pct"/>
            <w:shd w:val="clear" w:color="auto" w:fill="auto"/>
            <w:tcMar>
              <w:top w:w="15" w:type="dxa"/>
              <w:left w:w="15" w:type="dxa"/>
              <w:bottom w:w="0" w:type="dxa"/>
              <w:right w:w="15" w:type="dxa"/>
            </w:tcMar>
            <w:vAlign w:val="center"/>
            <w:hideMark/>
          </w:tcPr>
          <w:p w:rsidR="00616E08" w:rsidRPr="00CD2C23" w:rsidRDefault="0076494B" w:rsidP="00A92922">
            <w:pPr>
              <w:pStyle w:val="Default"/>
              <w:jc w:val="center"/>
            </w:pPr>
            <w:r>
              <w:t>2</w:t>
            </w:r>
          </w:p>
        </w:tc>
      </w:tr>
      <w:tr w:rsidR="00FF1399" w:rsidTr="00A92922">
        <w:trPr>
          <w:trHeight w:val="340"/>
        </w:trPr>
        <w:tc>
          <w:tcPr>
            <w:tcW w:w="2517" w:type="pct"/>
            <w:shd w:val="clear" w:color="auto" w:fill="auto"/>
            <w:tcMar>
              <w:top w:w="15" w:type="dxa"/>
              <w:left w:w="15" w:type="dxa"/>
              <w:bottom w:w="0" w:type="dxa"/>
              <w:right w:w="15" w:type="dxa"/>
            </w:tcMar>
            <w:vAlign w:val="center"/>
            <w:hideMark/>
          </w:tcPr>
          <w:p w:rsidR="00616E08" w:rsidRPr="00CD2C23" w:rsidRDefault="0076494B" w:rsidP="00A92922">
            <w:pPr>
              <w:pStyle w:val="Default"/>
            </w:pPr>
            <w:r w:rsidRPr="00CD2C23">
              <w:t>Private, Voluntary and Independent</w:t>
            </w:r>
          </w:p>
        </w:tc>
        <w:tc>
          <w:tcPr>
            <w:tcW w:w="946" w:type="pct"/>
            <w:shd w:val="clear" w:color="auto" w:fill="auto"/>
            <w:tcMar>
              <w:top w:w="15" w:type="dxa"/>
              <w:left w:w="15" w:type="dxa"/>
              <w:bottom w:w="0" w:type="dxa"/>
              <w:right w:w="15" w:type="dxa"/>
            </w:tcMar>
            <w:vAlign w:val="center"/>
            <w:hideMark/>
          </w:tcPr>
          <w:p w:rsidR="00616E08" w:rsidRPr="00CD2C23" w:rsidRDefault="0076494B" w:rsidP="00A92922">
            <w:pPr>
              <w:pStyle w:val="Default"/>
              <w:jc w:val="center"/>
            </w:pPr>
            <w:r>
              <w:t>40</w:t>
            </w:r>
          </w:p>
        </w:tc>
        <w:tc>
          <w:tcPr>
            <w:tcW w:w="473" w:type="pct"/>
            <w:shd w:val="clear" w:color="auto" w:fill="auto"/>
            <w:tcMar>
              <w:top w:w="15" w:type="dxa"/>
              <w:left w:w="15" w:type="dxa"/>
              <w:bottom w:w="0" w:type="dxa"/>
              <w:right w:w="15" w:type="dxa"/>
            </w:tcMar>
            <w:vAlign w:val="center"/>
            <w:hideMark/>
          </w:tcPr>
          <w:p w:rsidR="00616E08" w:rsidRPr="00CD2C23" w:rsidRDefault="0076494B" w:rsidP="00A92922">
            <w:pPr>
              <w:pStyle w:val="Default"/>
              <w:jc w:val="center"/>
            </w:pPr>
            <w:r>
              <w:t>23</w:t>
            </w:r>
          </w:p>
        </w:tc>
        <w:tc>
          <w:tcPr>
            <w:tcW w:w="443" w:type="pct"/>
            <w:shd w:val="clear" w:color="auto" w:fill="auto"/>
            <w:tcMar>
              <w:top w:w="15" w:type="dxa"/>
              <w:left w:w="15" w:type="dxa"/>
              <w:bottom w:w="0" w:type="dxa"/>
              <w:right w:w="15" w:type="dxa"/>
            </w:tcMar>
            <w:vAlign w:val="center"/>
            <w:hideMark/>
          </w:tcPr>
          <w:p w:rsidR="00616E08" w:rsidRPr="00CD2C23" w:rsidRDefault="0076494B" w:rsidP="00A92922">
            <w:pPr>
              <w:pStyle w:val="Default"/>
              <w:jc w:val="center"/>
            </w:pPr>
            <w:r>
              <w:t>12</w:t>
            </w:r>
          </w:p>
        </w:tc>
        <w:tc>
          <w:tcPr>
            <w:tcW w:w="621" w:type="pct"/>
            <w:shd w:val="clear" w:color="auto" w:fill="auto"/>
            <w:tcMar>
              <w:top w:w="15" w:type="dxa"/>
              <w:left w:w="15" w:type="dxa"/>
              <w:bottom w:w="0" w:type="dxa"/>
              <w:right w:w="15" w:type="dxa"/>
            </w:tcMar>
            <w:vAlign w:val="center"/>
            <w:hideMark/>
          </w:tcPr>
          <w:p w:rsidR="00616E08" w:rsidRPr="00CD2C23" w:rsidRDefault="0076494B" w:rsidP="00A92922">
            <w:pPr>
              <w:pStyle w:val="Default"/>
              <w:jc w:val="center"/>
            </w:pPr>
            <w:r>
              <w:t>5</w:t>
            </w:r>
          </w:p>
        </w:tc>
      </w:tr>
      <w:tr w:rsidR="00FF1399" w:rsidTr="00A92922">
        <w:trPr>
          <w:trHeight w:val="340"/>
        </w:trPr>
        <w:tc>
          <w:tcPr>
            <w:tcW w:w="2517" w:type="pct"/>
            <w:shd w:val="clear" w:color="auto" w:fill="auto"/>
            <w:tcMar>
              <w:top w:w="15" w:type="dxa"/>
              <w:left w:w="15" w:type="dxa"/>
              <w:bottom w:w="0" w:type="dxa"/>
              <w:right w:w="15" w:type="dxa"/>
            </w:tcMar>
            <w:vAlign w:val="center"/>
            <w:hideMark/>
          </w:tcPr>
          <w:p w:rsidR="00616E08" w:rsidRPr="00CD2C23" w:rsidRDefault="0076494B" w:rsidP="00A92922">
            <w:pPr>
              <w:pStyle w:val="Default"/>
            </w:pPr>
            <w:r w:rsidRPr="00CD2C23">
              <w:t>Eligible Child Minder</w:t>
            </w:r>
          </w:p>
        </w:tc>
        <w:tc>
          <w:tcPr>
            <w:tcW w:w="946" w:type="pct"/>
            <w:shd w:val="clear" w:color="auto" w:fill="auto"/>
            <w:tcMar>
              <w:top w:w="15" w:type="dxa"/>
              <w:left w:w="15" w:type="dxa"/>
              <w:bottom w:w="0" w:type="dxa"/>
              <w:right w:w="15" w:type="dxa"/>
            </w:tcMar>
            <w:vAlign w:val="center"/>
            <w:hideMark/>
          </w:tcPr>
          <w:p w:rsidR="00616E08" w:rsidRPr="00CD2C23" w:rsidRDefault="0076494B" w:rsidP="00A92922">
            <w:pPr>
              <w:pStyle w:val="Default"/>
              <w:jc w:val="center"/>
            </w:pPr>
            <w:r>
              <w:t>25</w:t>
            </w:r>
          </w:p>
        </w:tc>
        <w:tc>
          <w:tcPr>
            <w:tcW w:w="473" w:type="pct"/>
            <w:shd w:val="clear" w:color="auto" w:fill="auto"/>
            <w:tcMar>
              <w:top w:w="15" w:type="dxa"/>
              <w:left w:w="15" w:type="dxa"/>
              <w:bottom w:w="0" w:type="dxa"/>
              <w:right w:w="15" w:type="dxa"/>
            </w:tcMar>
            <w:vAlign w:val="center"/>
            <w:hideMark/>
          </w:tcPr>
          <w:p w:rsidR="00616E08" w:rsidRPr="00CD2C23" w:rsidRDefault="0076494B" w:rsidP="00A92922">
            <w:pPr>
              <w:pStyle w:val="Default"/>
              <w:jc w:val="center"/>
            </w:pPr>
            <w:r>
              <w:t>6</w:t>
            </w:r>
          </w:p>
        </w:tc>
        <w:tc>
          <w:tcPr>
            <w:tcW w:w="443" w:type="pct"/>
            <w:shd w:val="clear" w:color="auto" w:fill="auto"/>
            <w:tcMar>
              <w:top w:w="15" w:type="dxa"/>
              <w:left w:w="15" w:type="dxa"/>
              <w:bottom w:w="0" w:type="dxa"/>
              <w:right w:w="15" w:type="dxa"/>
            </w:tcMar>
            <w:vAlign w:val="center"/>
            <w:hideMark/>
          </w:tcPr>
          <w:p w:rsidR="00616E08" w:rsidRPr="00CD2C23" w:rsidRDefault="0076494B" w:rsidP="00A92922">
            <w:pPr>
              <w:pStyle w:val="Default"/>
              <w:jc w:val="center"/>
            </w:pPr>
            <w:r>
              <w:t>6</w:t>
            </w:r>
          </w:p>
        </w:tc>
        <w:tc>
          <w:tcPr>
            <w:tcW w:w="621" w:type="pct"/>
            <w:shd w:val="clear" w:color="auto" w:fill="auto"/>
            <w:tcMar>
              <w:top w:w="15" w:type="dxa"/>
              <w:left w:w="15" w:type="dxa"/>
              <w:bottom w:w="0" w:type="dxa"/>
              <w:right w:w="15" w:type="dxa"/>
            </w:tcMar>
            <w:vAlign w:val="center"/>
            <w:hideMark/>
          </w:tcPr>
          <w:p w:rsidR="00616E08" w:rsidRPr="00CD2C23" w:rsidRDefault="0076494B" w:rsidP="00A92922">
            <w:pPr>
              <w:pStyle w:val="Default"/>
              <w:jc w:val="center"/>
            </w:pPr>
            <w:r>
              <w:t>13</w:t>
            </w:r>
          </w:p>
        </w:tc>
      </w:tr>
      <w:tr w:rsidR="00FF1399" w:rsidTr="00A92922">
        <w:trPr>
          <w:trHeight w:val="340"/>
        </w:trPr>
        <w:tc>
          <w:tcPr>
            <w:tcW w:w="2517" w:type="pct"/>
            <w:shd w:val="clear" w:color="auto" w:fill="auto"/>
            <w:tcMar>
              <w:top w:w="15" w:type="dxa"/>
              <w:left w:w="15" w:type="dxa"/>
              <w:bottom w:w="0" w:type="dxa"/>
              <w:right w:w="15" w:type="dxa"/>
            </w:tcMar>
            <w:vAlign w:val="center"/>
            <w:hideMark/>
          </w:tcPr>
          <w:p w:rsidR="00616E08" w:rsidRPr="00CD2C23" w:rsidRDefault="0076494B" w:rsidP="00A92922">
            <w:pPr>
              <w:pStyle w:val="Default"/>
              <w:rPr>
                <w:b/>
              </w:rPr>
            </w:pPr>
            <w:r w:rsidRPr="00CD2C23">
              <w:rPr>
                <w:b/>
                <w:bCs/>
              </w:rPr>
              <w:t>Total</w:t>
            </w:r>
          </w:p>
        </w:tc>
        <w:tc>
          <w:tcPr>
            <w:tcW w:w="946" w:type="pct"/>
            <w:shd w:val="clear" w:color="auto" w:fill="auto"/>
            <w:tcMar>
              <w:top w:w="15" w:type="dxa"/>
              <w:left w:w="15" w:type="dxa"/>
              <w:bottom w:w="0" w:type="dxa"/>
              <w:right w:w="15" w:type="dxa"/>
            </w:tcMar>
            <w:vAlign w:val="center"/>
            <w:hideMark/>
          </w:tcPr>
          <w:p w:rsidR="00616E08" w:rsidRPr="00582F28" w:rsidRDefault="0076494B" w:rsidP="00A92922">
            <w:pPr>
              <w:pStyle w:val="Default"/>
              <w:jc w:val="center"/>
              <w:rPr>
                <w:b/>
              </w:rPr>
            </w:pPr>
            <w:r w:rsidRPr="00582F28">
              <w:rPr>
                <w:b/>
              </w:rPr>
              <w:t>88</w:t>
            </w:r>
          </w:p>
        </w:tc>
        <w:tc>
          <w:tcPr>
            <w:tcW w:w="473" w:type="pct"/>
            <w:shd w:val="clear" w:color="auto" w:fill="auto"/>
            <w:tcMar>
              <w:top w:w="15" w:type="dxa"/>
              <w:left w:w="15" w:type="dxa"/>
              <w:bottom w:w="0" w:type="dxa"/>
              <w:right w:w="15" w:type="dxa"/>
            </w:tcMar>
            <w:vAlign w:val="center"/>
            <w:hideMark/>
          </w:tcPr>
          <w:p w:rsidR="00616E08" w:rsidRPr="00582F28" w:rsidRDefault="0076494B" w:rsidP="00A92922">
            <w:pPr>
              <w:pStyle w:val="Default"/>
              <w:jc w:val="center"/>
              <w:rPr>
                <w:b/>
              </w:rPr>
            </w:pPr>
            <w:r w:rsidRPr="00582F28">
              <w:rPr>
                <w:b/>
              </w:rPr>
              <w:t>40</w:t>
            </w:r>
          </w:p>
        </w:tc>
        <w:tc>
          <w:tcPr>
            <w:tcW w:w="443" w:type="pct"/>
            <w:shd w:val="clear" w:color="auto" w:fill="auto"/>
            <w:tcMar>
              <w:top w:w="15" w:type="dxa"/>
              <w:left w:w="15" w:type="dxa"/>
              <w:bottom w:w="0" w:type="dxa"/>
              <w:right w:w="15" w:type="dxa"/>
            </w:tcMar>
            <w:vAlign w:val="center"/>
            <w:hideMark/>
          </w:tcPr>
          <w:p w:rsidR="00616E08" w:rsidRPr="00582F28" w:rsidRDefault="0076494B" w:rsidP="00A92922">
            <w:pPr>
              <w:pStyle w:val="Default"/>
              <w:jc w:val="center"/>
              <w:rPr>
                <w:b/>
              </w:rPr>
            </w:pPr>
            <w:r w:rsidRPr="00582F28">
              <w:rPr>
                <w:b/>
              </w:rPr>
              <w:t>26</w:t>
            </w:r>
          </w:p>
        </w:tc>
        <w:tc>
          <w:tcPr>
            <w:tcW w:w="621" w:type="pct"/>
            <w:shd w:val="clear" w:color="auto" w:fill="auto"/>
            <w:tcMar>
              <w:top w:w="15" w:type="dxa"/>
              <w:left w:w="15" w:type="dxa"/>
              <w:bottom w:w="0" w:type="dxa"/>
              <w:right w:w="15" w:type="dxa"/>
            </w:tcMar>
            <w:vAlign w:val="center"/>
            <w:hideMark/>
          </w:tcPr>
          <w:p w:rsidR="00616E08" w:rsidRPr="00582F28" w:rsidRDefault="0076494B" w:rsidP="00A92922">
            <w:pPr>
              <w:pStyle w:val="Default"/>
              <w:jc w:val="center"/>
              <w:rPr>
                <w:b/>
              </w:rPr>
            </w:pPr>
            <w:r w:rsidRPr="00582F28">
              <w:rPr>
                <w:b/>
              </w:rPr>
              <w:t>22</w:t>
            </w:r>
          </w:p>
        </w:tc>
      </w:tr>
      <w:tr w:rsidR="00FF1399" w:rsidTr="00A92922">
        <w:trPr>
          <w:trHeight w:val="340"/>
        </w:trPr>
        <w:tc>
          <w:tcPr>
            <w:tcW w:w="2517" w:type="pct"/>
            <w:shd w:val="clear" w:color="auto" w:fill="auto"/>
            <w:tcMar>
              <w:top w:w="15" w:type="dxa"/>
              <w:left w:w="15" w:type="dxa"/>
              <w:bottom w:w="0" w:type="dxa"/>
              <w:right w:w="15" w:type="dxa"/>
            </w:tcMar>
            <w:vAlign w:val="center"/>
            <w:hideMark/>
          </w:tcPr>
          <w:p w:rsidR="00616E08" w:rsidRPr="00CD2C23" w:rsidRDefault="0076494B" w:rsidP="00A92922">
            <w:pPr>
              <w:pStyle w:val="Default"/>
              <w:rPr>
                <w:b/>
              </w:rPr>
            </w:pPr>
            <w:r w:rsidRPr="00CD2C23">
              <w:rPr>
                <w:b/>
                <w:bCs/>
              </w:rPr>
              <w:t>%</w:t>
            </w:r>
          </w:p>
        </w:tc>
        <w:tc>
          <w:tcPr>
            <w:tcW w:w="946" w:type="pct"/>
            <w:shd w:val="clear" w:color="auto" w:fill="auto"/>
            <w:tcMar>
              <w:top w:w="15" w:type="dxa"/>
              <w:left w:w="15" w:type="dxa"/>
              <w:bottom w:w="0" w:type="dxa"/>
              <w:right w:w="15" w:type="dxa"/>
            </w:tcMar>
            <w:vAlign w:val="center"/>
            <w:hideMark/>
          </w:tcPr>
          <w:p w:rsidR="00616E08" w:rsidRPr="00582F28" w:rsidRDefault="0076494B" w:rsidP="00A92922">
            <w:pPr>
              <w:pStyle w:val="Default"/>
              <w:jc w:val="center"/>
              <w:rPr>
                <w:b/>
              </w:rPr>
            </w:pPr>
          </w:p>
        </w:tc>
        <w:tc>
          <w:tcPr>
            <w:tcW w:w="473" w:type="pct"/>
            <w:shd w:val="clear" w:color="auto" w:fill="auto"/>
            <w:tcMar>
              <w:top w:w="15" w:type="dxa"/>
              <w:left w:w="15" w:type="dxa"/>
              <w:bottom w:w="0" w:type="dxa"/>
              <w:right w:w="15" w:type="dxa"/>
            </w:tcMar>
            <w:vAlign w:val="center"/>
            <w:hideMark/>
          </w:tcPr>
          <w:p w:rsidR="00616E08" w:rsidRPr="00582F28" w:rsidRDefault="0076494B" w:rsidP="00A92922">
            <w:pPr>
              <w:pStyle w:val="Default"/>
              <w:jc w:val="center"/>
              <w:rPr>
                <w:b/>
              </w:rPr>
            </w:pPr>
            <w:r w:rsidRPr="00582F28">
              <w:rPr>
                <w:b/>
              </w:rPr>
              <w:t>45.5%</w:t>
            </w:r>
          </w:p>
        </w:tc>
        <w:tc>
          <w:tcPr>
            <w:tcW w:w="443" w:type="pct"/>
            <w:shd w:val="clear" w:color="auto" w:fill="auto"/>
            <w:tcMar>
              <w:top w:w="15" w:type="dxa"/>
              <w:left w:w="15" w:type="dxa"/>
              <w:bottom w:w="0" w:type="dxa"/>
              <w:right w:w="15" w:type="dxa"/>
            </w:tcMar>
            <w:vAlign w:val="center"/>
            <w:hideMark/>
          </w:tcPr>
          <w:p w:rsidR="00616E08" w:rsidRPr="00582F28" w:rsidRDefault="0076494B" w:rsidP="00A92922">
            <w:pPr>
              <w:pStyle w:val="Default"/>
              <w:jc w:val="center"/>
              <w:rPr>
                <w:b/>
              </w:rPr>
            </w:pPr>
            <w:r w:rsidRPr="00582F28">
              <w:rPr>
                <w:b/>
              </w:rPr>
              <w:t>29.5%</w:t>
            </w:r>
          </w:p>
        </w:tc>
        <w:tc>
          <w:tcPr>
            <w:tcW w:w="621" w:type="pct"/>
            <w:shd w:val="clear" w:color="auto" w:fill="auto"/>
            <w:tcMar>
              <w:top w:w="15" w:type="dxa"/>
              <w:left w:w="15" w:type="dxa"/>
              <w:bottom w:w="0" w:type="dxa"/>
              <w:right w:w="15" w:type="dxa"/>
            </w:tcMar>
            <w:vAlign w:val="center"/>
            <w:hideMark/>
          </w:tcPr>
          <w:p w:rsidR="00616E08" w:rsidRPr="00582F28" w:rsidRDefault="0076494B" w:rsidP="00A92922">
            <w:pPr>
              <w:pStyle w:val="Default"/>
              <w:jc w:val="center"/>
              <w:rPr>
                <w:b/>
              </w:rPr>
            </w:pPr>
            <w:r w:rsidRPr="00582F28">
              <w:rPr>
                <w:b/>
              </w:rPr>
              <w:t>25.0%</w:t>
            </w:r>
          </w:p>
        </w:tc>
      </w:tr>
    </w:tbl>
    <w:p w:rsidR="00616E08" w:rsidRDefault="0076494B" w:rsidP="00616E08">
      <w:pPr>
        <w:pStyle w:val="Default"/>
        <w:rPr>
          <w:b/>
        </w:rPr>
      </w:pPr>
    </w:p>
    <w:p w:rsidR="00616E08" w:rsidRDefault="0076494B" w:rsidP="00616E08">
      <w:pPr>
        <w:pStyle w:val="Default"/>
        <w:jc w:val="both"/>
        <w:rPr>
          <w:b/>
        </w:rPr>
      </w:pPr>
      <w:r w:rsidRPr="00CD2C23">
        <w:rPr>
          <w:b/>
        </w:rPr>
        <w:t>Q4 Comments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36"/>
      </w:tblGrid>
      <w:tr w:rsidR="00FF1399" w:rsidTr="00A92922">
        <w:trPr>
          <w:trHeight w:val="20"/>
        </w:trPr>
        <w:tc>
          <w:tcPr>
            <w:tcW w:w="5000" w:type="pct"/>
            <w:shd w:val="clear" w:color="auto" w:fill="auto"/>
            <w:tcMar>
              <w:top w:w="15" w:type="dxa"/>
              <w:left w:w="108" w:type="dxa"/>
              <w:bottom w:w="0" w:type="dxa"/>
              <w:right w:w="108" w:type="dxa"/>
            </w:tcMar>
            <w:vAlign w:val="center"/>
            <w:hideMark/>
          </w:tcPr>
          <w:p w:rsidR="00616E08" w:rsidRPr="00CD2C23" w:rsidRDefault="0076494B" w:rsidP="00A92922">
            <w:pPr>
              <w:pStyle w:val="Default"/>
              <w:jc w:val="both"/>
            </w:pPr>
            <w:r w:rsidRPr="00CD2C23">
              <w:t xml:space="preserve">I </w:t>
            </w:r>
            <w:r w:rsidRPr="00CD2C23">
              <w:t>agree most settings probably do meet the criteria therefore providing these supplements would only end up lowering the base rate</w:t>
            </w:r>
          </w:p>
        </w:tc>
      </w:tr>
      <w:tr w:rsidR="00FF1399" w:rsidTr="00A92922">
        <w:trPr>
          <w:trHeight w:val="20"/>
        </w:trPr>
        <w:tc>
          <w:tcPr>
            <w:tcW w:w="5000" w:type="pct"/>
            <w:shd w:val="clear" w:color="auto" w:fill="auto"/>
            <w:tcMar>
              <w:top w:w="15" w:type="dxa"/>
              <w:left w:w="108" w:type="dxa"/>
              <w:bottom w:w="0" w:type="dxa"/>
              <w:right w:w="108" w:type="dxa"/>
            </w:tcMar>
            <w:vAlign w:val="center"/>
            <w:hideMark/>
          </w:tcPr>
          <w:p w:rsidR="00616E08" w:rsidRPr="00CD2C23" w:rsidRDefault="0076494B" w:rsidP="00A92922">
            <w:pPr>
              <w:pStyle w:val="Default"/>
              <w:jc w:val="both"/>
            </w:pPr>
            <w:r w:rsidRPr="00CD2C23">
              <w:t>SHOULD BE GENERIC</w:t>
            </w:r>
          </w:p>
        </w:tc>
      </w:tr>
      <w:tr w:rsidR="00FF1399" w:rsidTr="00A92922">
        <w:trPr>
          <w:trHeight w:val="20"/>
        </w:trPr>
        <w:tc>
          <w:tcPr>
            <w:tcW w:w="5000" w:type="pct"/>
            <w:shd w:val="clear" w:color="auto" w:fill="auto"/>
            <w:tcMar>
              <w:top w:w="15" w:type="dxa"/>
              <w:left w:w="108" w:type="dxa"/>
              <w:bottom w:w="0" w:type="dxa"/>
              <w:right w:w="108" w:type="dxa"/>
            </w:tcMar>
            <w:vAlign w:val="center"/>
            <w:hideMark/>
          </w:tcPr>
          <w:p w:rsidR="00616E08" w:rsidRPr="00CD2C23" w:rsidRDefault="0076494B" w:rsidP="00A92922">
            <w:pPr>
              <w:pStyle w:val="Default"/>
              <w:jc w:val="both"/>
            </w:pPr>
            <w:r w:rsidRPr="00FF0193">
              <w:t>Quality</w:t>
            </w:r>
            <w:r w:rsidRPr="00CD2C23">
              <w:t xml:space="preserve"> &amp; </w:t>
            </w:r>
            <w:r w:rsidRPr="00FF0193">
              <w:t xml:space="preserve">EAL </w:t>
            </w:r>
            <w:r w:rsidRPr="00CD2C23">
              <w:t>- we cannot continue to offer highly qualified staff EYTS, EYP etc if the funding provided do</w:t>
            </w:r>
            <w:r w:rsidRPr="00CD2C23">
              <w:t>es not cover the cost of the childcare. EAL is also another aspect that creates more drains on resources that needs more appropriate funding to support settings.</w:t>
            </w:r>
          </w:p>
        </w:tc>
      </w:tr>
      <w:tr w:rsidR="00FF1399" w:rsidTr="00A92922">
        <w:trPr>
          <w:trHeight w:val="20"/>
        </w:trPr>
        <w:tc>
          <w:tcPr>
            <w:tcW w:w="5000" w:type="pct"/>
            <w:shd w:val="clear" w:color="auto" w:fill="auto"/>
            <w:tcMar>
              <w:top w:w="15" w:type="dxa"/>
              <w:left w:w="108" w:type="dxa"/>
              <w:bottom w:w="0" w:type="dxa"/>
              <w:right w:w="108" w:type="dxa"/>
            </w:tcMar>
            <w:vAlign w:val="center"/>
            <w:hideMark/>
          </w:tcPr>
          <w:p w:rsidR="00616E08" w:rsidRPr="00CD2C23" w:rsidRDefault="0076494B" w:rsidP="00A92922">
            <w:pPr>
              <w:pStyle w:val="Default"/>
              <w:jc w:val="both"/>
            </w:pPr>
            <w:r w:rsidRPr="00CD2C23">
              <w:t xml:space="preserve">Additional supplement for flexibility and for hiring highly </w:t>
            </w:r>
            <w:r w:rsidRPr="00FF0193">
              <w:t xml:space="preserve">qualified </w:t>
            </w:r>
            <w:r w:rsidRPr="00CD2C23">
              <w:t>staff</w:t>
            </w:r>
          </w:p>
        </w:tc>
      </w:tr>
      <w:tr w:rsidR="00FF1399" w:rsidTr="00A92922">
        <w:trPr>
          <w:trHeight w:val="20"/>
        </w:trPr>
        <w:tc>
          <w:tcPr>
            <w:tcW w:w="5000" w:type="pct"/>
            <w:shd w:val="clear" w:color="auto" w:fill="auto"/>
            <w:tcMar>
              <w:top w:w="15" w:type="dxa"/>
              <w:left w:w="108" w:type="dxa"/>
              <w:bottom w:w="0" w:type="dxa"/>
              <w:right w:w="108" w:type="dxa"/>
            </w:tcMar>
            <w:vAlign w:val="center"/>
            <w:hideMark/>
          </w:tcPr>
          <w:p w:rsidR="00616E08" w:rsidRPr="00CD2C23" w:rsidRDefault="0076494B" w:rsidP="00A92922">
            <w:pPr>
              <w:pStyle w:val="Default"/>
              <w:jc w:val="both"/>
            </w:pPr>
            <w:r w:rsidRPr="00FF0193">
              <w:t>Quality</w:t>
            </w:r>
            <w:r w:rsidRPr="00CD2C23">
              <w:t xml:space="preserve"> should b</w:t>
            </w:r>
            <w:r w:rsidRPr="00CD2C23">
              <w:t>e recognised using Ofsted judgement</w:t>
            </w:r>
          </w:p>
        </w:tc>
      </w:tr>
      <w:tr w:rsidR="00FF1399" w:rsidTr="00A92922">
        <w:trPr>
          <w:trHeight w:val="20"/>
        </w:trPr>
        <w:tc>
          <w:tcPr>
            <w:tcW w:w="5000" w:type="pct"/>
            <w:shd w:val="clear" w:color="auto" w:fill="auto"/>
            <w:tcMar>
              <w:top w:w="15" w:type="dxa"/>
              <w:left w:w="108" w:type="dxa"/>
              <w:bottom w:w="0" w:type="dxa"/>
              <w:right w:w="108" w:type="dxa"/>
            </w:tcMar>
            <w:vAlign w:val="center"/>
            <w:hideMark/>
          </w:tcPr>
          <w:p w:rsidR="00616E08" w:rsidRPr="00CD2C23" w:rsidRDefault="0076494B" w:rsidP="00A92922">
            <w:pPr>
              <w:pStyle w:val="Default"/>
              <w:jc w:val="both"/>
            </w:pPr>
            <w:r w:rsidRPr="00CD2C23">
              <w:t>If affects base rate but if base rate stays the same then the additional supplements should be added.</w:t>
            </w:r>
          </w:p>
        </w:tc>
      </w:tr>
      <w:tr w:rsidR="00FF1399" w:rsidTr="00A92922">
        <w:trPr>
          <w:trHeight w:val="20"/>
        </w:trPr>
        <w:tc>
          <w:tcPr>
            <w:tcW w:w="5000" w:type="pct"/>
            <w:shd w:val="clear" w:color="auto" w:fill="auto"/>
            <w:tcMar>
              <w:top w:w="15" w:type="dxa"/>
              <w:left w:w="108" w:type="dxa"/>
              <w:bottom w:w="0" w:type="dxa"/>
              <w:right w:w="108" w:type="dxa"/>
            </w:tcMar>
            <w:vAlign w:val="center"/>
            <w:hideMark/>
          </w:tcPr>
          <w:p w:rsidR="00616E08" w:rsidRPr="00CD2C23" w:rsidRDefault="0076494B" w:rsidP="00A92922">
            <w:pPr>
              <w:pStyle w:val="Default"/>
              <w:jc w:val="both"/>
            </w:pPr>
            <w:r w:rsidRPr="00CD2C23">
              <w:t>Not sure what you mean</w:t>
            </w:r>
          </w:p>
        </w:tc>
      </w:tr>
      <w:tr w:rsidR="00FF1399" w:rsidTr="00A92922">
        <w:trPr>
          <w:trHeight w:val="20"/>
        </w:trPr>
        <w:tc>
          <w:tcPr>
            <w:tcW w:w="5000" w:type="pct"/>
            <w:shd w:val="clear" w:color="auto" w:fill="auto"/>
            <w:tcMar>
              <w:top w:w="15" w:type="dxa"/>
              <w:left w:w="108" w:type="dxa"/>
              <w:bottom w:w="0" w:type="dxa"/>
              <w:right w:w="108" w:type="dxa"/>
            </w:tcMar>
            <w:vAlign w:val="center"/>
            <w:hideMark/>
          </w:tcPr>
          <w:p w:rsidR="00616E08" w:rsidRPr="00CD2C23" w:rsidRDefault="0076494B" w:rsidP="00A92922">
            <w:pPr>
              <w:pStyle w:val="Default"/>
              <w:jc w:val="both"/>
            </w:pPr>
            <w:r w:rsidRPr="00FF0193">
              <w:t xml:space="preserve">EAL </w:t>
            </w:r>
            <w:r w:rsidRPr="00CD2C23">
              <w:t>- need additional speech and language support, wide variations between setting and level</w:t>
            </w:r>
            <w:r w:rsidRPr="00CD2C23">
              <w:t xml:space="preserve"> of need.</w:t>
            </w:r>
          </w:p>
        </w:tc>
      </w:tr>
      <w:tr w:rsidR="00FF1399" w:rsidTr="00A92922">
        <w:trPr>
          <w:trHeight w:val="20"/>
        </w:trPr>
        <w:tc>
          <w:tcPr>
            <w:tcW w:w="5000" w:type="pct"/>
            <w:shd w:val="clear" w:color="auto" w:fill="auto"/>
            <w:tcMar>
              <w:top w:w="15" w:type="dxa"/>
              <w:left w:w="108" w:type="dxa"/>
              <w:bottom w:w="0" w:type="dxa"/>
              <w:right w:w="108" w:type="dxa"/>
            </w:tcMar>
            <w:vAlign w:val="center"/>
            <w:hideMark/>
          </w:tcPr>
          <w:p w:rsidR="00616E08" w:rsidRPr="00CD2C23" w:rsidRDefault="0076494B" w:rsidP="00A92922">
            <w:pPr>
              <w:pStyle w:val="Default"/>
              <w:jc w:val="both"/>
            </w:pPr>
            <w:r w:rsidRPr="00CD2C23">
              <w:t xml:space="preserve">An additional supplement for </w:t>
            </w:r>
            <w:r w:rsidRPr="00FF0193">
              <w:t xml:space="preserve">EAL </w:t>
            </w:r>
            <w:r w:rsidRPr="00CD2C23">
              <w:t>as this impacts on educational outcomes and requires settings to provide additional support.</w:t>
            </w:r>
          </w:p>
        </w:tc>
      </w:tr>
      <w:tr w:rsidR="00FF1399" w:rsidTr="00A92922">
        <w:trPr>
          <w:trHeight w:val="20"/>
        </w:trPr>
        <w:tc>
          <w:tcPr>
            <w:tcW w:w="5000" w:type="pct"/>
            <w:shd w:val="clear" w:color="auto" w:fill="auto"/>
            <w:tcMar>
              <w:top w:w="15" w:type="dxa"/>
              <w:left w:w="108" w:type="dxa"/>
              <w:bottom w:w="0" w:type="dxa"/>
              <w:right w:w="108" w:type="dxa"/>
            </w:tcMar>
            <w:vAlign w:val="center"/>
            <w:hideMark/>
          </w:tcPr>
          <w:p w:rsidR="00616E08" w:rsidRPr="00CD2C23" w:rsidRDefault="0076494B" w:rsidP="00A92922">
            <w:pPr>
              <w:pStyle w:val="Default"/>
              <w:jc w:val="both"/>
            </w:pPr>
            <w:r w:rsidRPr="00CD2C23">
              <w:t xml:space="preserve">The loss of the </w:t>
            </w:r>
            <w:r w:rsidRPr="00FF0193">
              <w:t xml:space="preserve">quality </w:t>
            </w:r>
            <w:r w:rsidRPr="00CD2C23">
              <w:t>supplement is very concerning. This should be linked to having fully qualified QTS</w:t>
            </w:r>
            <w:r w:rsidRPr="00CD2C23">
              <w:t xml:space="preserve"> teachers in the setting.</w:t>
            </w:r>
          </w:p>
        </w:tc>
      </w:tr>
      <w:tr w:rsidR="00FF1399" w:rsidTr="00A92922">
        <w:trPr>
          <w:trHeight w:val="20"/>
        </w:trPr>
        <w:tc>
          <w:tcPr>
            <w:tcW w:w="5000" w:type="pct"/>
            <w:shd w:val="clear" w:color="auto" w:fill="auto"/>
            <w:tcMar>
              <w:top w:w="15" w:type="dxa"/>
              <w:left w:w="108" w:type="dxa"/>
              <w:bottom w:w="0" w:type="dxa"/>
              <w:right w:w="108" w:type="dxa"/>
            </w:tcMar>
            <w:vAlign w:val="center"/>
            <w:hideMark/>
          </w:tcPr>
          <w:p w:rsidR="00616E08" w:rsidRPr="00CD2C23" w:rsidRDefault="0076494B" w:rsidP="00A92922">
            <w:pPr>
              <w:pStyle w:val="Default"/>
              <w:jc w:val="both"/>
            </w:pPr>
            <w:r w:rsidRPr="00FF0193">
              <w:lastRenderedPageBreak/>
              <w:t xml:space="preserve">Quality </w:t>
            </w:r>
            <w:r w:rsidRPr="00CD2C23">
              <w:t>is a key factor in improving outcomes for children and the cost of providing this should be taken into account with the provision of funding.  Unless we provide outstanding/good quality of early education, we will not clo</w:t>
            </w:r>
            <w:r w:rsidRPr="00CD2C23">
              <w:t>se the gap to ensure young children have the best start to their education and have better long term outcomes.</w:t>
            </w:r>
          </w:p>
        </w:tc>
      </w:tr>
      <w:tr w:rsidR="00FF1399" w:rsidTr="00A92922">
        <w:trPr>
          <w:trHeight w:val="20"/>
        </w:trPr>
        <w:tc>
          <w:tcPr>
            <w:tcW w:w="5000" w:type="pct"/>
            <w:shd w:val="clear" w:color="auto" w:fill="auto"/>
            <w:tcMar>
              <w:top w:w="15" w:type="dxa"/>
              <w:left w:w="108" w:type="dxa"/>
              <w:bottom w:w="0" w:type="dxa"/>
              <w:right w:w="108" w:type="dxa"/>
            </w:tcMar>
            <w:vAlign w:val="center"/>
            <w:hideMark/>
          </w:tcPr>
          <w:p w:rsidR="00616E08" w:rsidRPr="00CD2C23" w:rsidRDefault="0076494B" w:rsidP="00A92922">
            <w:pPr>
              <w:pStyle w:val="Default"/>
              <w:jc w:val="both"/>
            </w:pPr>
            <w:r w:rsidRPr="00FF0193">
              <w:t xml:space="preserve">Rurality </w:t>
            </w:r>
            <w:r w:rsidRPr="00CD2C23">
              <w:t>should be maintained.</w:t>
            </w:r>
          </w:p>
        </w:tc>
      </w:tr>
      <w:tr w:rsidR="00FF1399" w:rsidTr="00A92922">
        <w:trPr>
          <w:trHeight w:val="20"/>
        </w:trPr>
        <w:tc>
          <w:tcPr>
            <w:tcW w:w="5000" w:type="pct"/>
            <w:shd w:val="clear" w:color="auto" w:fill="auto"/>
            <w:tcMar>
              <w:top w:w="15" w:type="dxa"/>
              <w:left w:w="108" w:type="dxa"/>
              <w:bottom w:w="0" w:type="dxa"/>
              <w:right w:w="108" w:type="dxa"/>
            </w:tcMar>
            <w:vAlign w:val="center"/>
            <w:hideMark/>
          </w:tcPr>
          <w:p w:rsidR="00616E08" w:rsidRPr="00CD2C23" w:rsidRDefault="0076494B" w:rsidP="00A92922">
            <w:pPr>
              <w:pStyle w:val="Default"/>
              <w:jc w:val="both"/>
            </w:pPr>
            <w:r w:rsidRPr="00FF0193">
              <w:t xml:space="preserve">Quality </w:t>
            </w:r>
            <w:r w:rsidRPr="00CD2C23">
              <w:t xml:space="preserve">and </w:t>
            </w:r>
            <w:r w:rsidRPr="00FF0193">
              <w:t xml:space="preserve">EAL </w:t>
            </w:r>
            <w:r w:rsidRPr="00CD2C23">
              <w:t>supplement should be retained. We need quality to remain and then needs of all EAL learners to b</w:t>
            </w:r>
            <w:r w:rsidRPr="00CD2C23">
              <w:t>e met at a higher level and the supplement will allow that.</w:t>
            </w:r>
          </w:p>
        </w:tc>
      </w:tr>
      <w:tr w:rsidR="00FF1399" w:rsidTr="00A92922">
        <w:trPr>
          <w:trHeight w:val="20"/>
        </w:trPr>
        <w:tc>
          <w:tcPr>
            <w:tcW w:w="5000" w:type="pct"/>
            <w:shd w:val="clear" w:color="auto" w:fill="auto"/>
            <w:tcMar>
              <w:top w:w="15" w:type="dxa"/>
              <w:left w:w="108" w:type="dxa"/>
              <w:bottom w:w="0" w:type="dxa"/>
              <w:right w:w="108" w:type="dxa"/>
            </w:tcMar>
            <w:vAlign w:val="center"/>
            <w:hideMark/>
          </w:tcPr>
          <w:p w:rsidR="00616E08" w:rsidRPr="00CD2C23" w:rsidRDefault="0076494B" w:rsidP="00A92922">
            <w:pPr>
              <w:pStyle w:val="Default"/>
              <w:jc w:val="both"/>
            </w:pPr>
            <w:r w:rsidRPr="00CD2C23">
              <w:t xml:space="preserve">The </w:t>
            </w:r>
            <w:r w:rsidRPr="00FF0193">
              <w:t xml:space="preserve">quality </w:t>
            </w:r>
            <w:r w:rsidRPr="00CD2C23">
              <w:t>supplement should be maintained as it encourages settings to recruit the best trained staff available, and removing this may lead to an increase in less qualified staff being employed</w:t>
            </w:r>
            <w:r w:rsidRPr="00CD2C23">
              <w:t xml:space="preserve"> with a subsequent drop in teaching quality for children.</w:t>
            </w:r>
          </w:p>
        </w:tc>
      </w:tr>
      <w:tr w:rsidR="00FF1399" w:rsidTr="00A92922">
        <w:trPr>
          <w:trHeight w:val="20"/>
        </w:trPr>
        <w:tc>
          <w:tcPr>
            <w:tcW w:w="5000" w:type="pct"/>
            <w:shd w:val="clear" w:color="auto" w:fill="auto"/>
            <w:tcMar>
              <w:top w:w="15" w:type="dxa"/>
              <w:left w:w="108" w:type="dxa"/>
              <w:bottom w:w="0" w:type="dxa"/>
              <w:right w:w="108" w:type="dxa"/>
            </w:tcMar>
            <w:vAlign w:val="center"/>
            <w:hideMark/>
          </w:tcPr>
          <w:p w:rsidR="00616E08" w:rsidRPr="00CD2C23" w:rsidRDefault="0076494B" w:rsidP="00A92922">
            <w:pPr>
              <w:pStyle w:val="Default"/>
              <w:jc w:val="both"/>
            </w:pPr>
            <w:r w:rsidRPr="00CD2C23">
              <w:t xml:space="preserve">I believe there should be funding related to </w:t>
            </w:r>
            <w:r w:rsidRPr="00FF0193">
              <w:t>quality</w:t>
            </w:r>
            <w:r w:rsidRPr="00CD2C23">
              <w:t xml:space="preserve">. If all settings are meeting this requirement it will therefore be shared equally however it will also ensure that settings still strive to </w:t>
            </w:r>
            <w:r w:rsidRPr="00CD2C23">
              <w:t>provide high quality early education.</w:t>
            </w:r>
          </w:p>
        </w:tc>
      </w:tr>
      <w:tr w:rsidR="00FF1399" w:rsidTr="00A92922">
        <w:trPr>
          <w:trHeight w:val="20"/>
        </w:trPr>
        <w:tc>
          <w:tcPr>
            <w:tcW w:w="5000" w:type="pct"/>
            <w:shd w:val="clear" w:color="auto" w:fill="auto"/>
            <w:tcMar>
              <w:top w:w="15" w:type="dxa"/>
              <w:left w:w="108" w:type="dxa"/>
              <w:bottom w:w="0" w:type="dxa"/>
              <w:right w:w="108" w:type="dxa"/>
            </w:tcMar>
            <w:vAlign w:val="center"/>
            <w:hideMark/>
          </w:tcPr>
          <w:p w:rsidR="00616E08" w:rsidRPr="00CD2C23" w:rsidRDefault="0076494B" w:rsidP="00A92922">
            <w:pPr>
              <w:pStyle w:val="Default"/>
              <w:jc w:val="both"/>
            </w:pPr>
            <w:r w:rsidRPr="00FF0193">
              <w:t xml:space="preserve">Deprivation </w:t>
            </w:r>
            <w:r w:rsidRPr="00CD2C23">
              <w:t>should be included</w:t>
            </w:r>
          </w:p>
        </w:tc>
      </w:tr>
      <w:tr w:rsidR="00FF1399" w:rsidTr="00A92922">
        <w:trPr>
          <w:trHeight w:val="20"/>
        </w:trPr>
        <w:tc>
          <w:tcPr>
            <w:tcW w:w="5000" w:type="pct"/>
            <w:shd w:val="clear" w:color="auto" w:fill="auto"/>
            <w:tcMar>
              <w:top w:w="15" w:type="dxa"/>
              <w:left w:w="108" w:type="dxa"/>
              <w:bottom w:w="0" w:type="dxa"/>
              <w:right w:w="108" w:type="dxa"/>
            </w:tcMar>
            <w:vAlign w:val="center"/>
            <w:hideMark/>
          </w:tcPr>
          <w:p w:rsidR="00616E08" w:rsidRPr="00CD2C23" w:rsidRDefault="0076494B" w:rsidP="00A92922">
            <w:pPr>
              <w:pStyle w:val="Default"/>
              <w:jc w:val="both"/>
            </w:pPr>
            <w:r w:rsidRPr="00CD2C23">
              <w:t xml:space="preserve">Nursery Schools offer high quality education with teachers and additional costs - a </w:t>
            </w:r>
            <w:r w:rsidRPr="00FF0193">
              <w:t xml:space="preserve">quality </w:t>
            </w:r>
            <w:r w:rsidRPr="00CD2C23">
              <w:t>supplement should be available I think.</w:t>
            </w:r>
          </w:p>
        </w:tc>
      </w:tr>
      <w:tr w:rsidR="00FF1399" w:rsidTr="00A92922">
        <w:trPr>
          <w:trHeight w:val="20"/>
        </w:trPr>
        <w:tc>
          <w:tcPr>
            <w:tcW w:w="5000" w:type="pct"/>
            <w:shd w:val="clear" w:color="auto" w:fill="auto"/>
            <w:tcMar>
              <w:top w:w="15" w:type="dxa"/>
              <w:left w:w="108" w:type="dxa"/>
              <w:bottom w:w="0" w:type="dxa"/>
              <w:right w:w="108" w:type="dxa"/>
            </w:tcMar>
            <w:vAlign w:val="center"/>
            <w:hideMark/>
          </w:tcPr>
          <w:p w:rsidR="00616E08" w:rsidRPr="00CD2C23" w:rsidRDefault="0076494B" w:rsidP="00A92922">
            <w:pPr>
              <w:pStyle w:val="Default"/>
              <w:jc w:val="both"/>
            </w:pPr>
            <w:r w:rsidRPr="00FF0193">
              <w:t>Flexibility</w:t>
            </w:r>
          </w:p>
        </w:tc>
      </w:tr>
      <w:tr w:rsidR="00FF1399" w:rsidTr="00A92922">
        <w:trPr>
          <w:trHeight w:val="20"/>
        </w:trPr>
        <w:tc>
          <w:tcPr>
            <w:tcW w:w="5000" w:type="pct"/>
            <w:shd w:val="clear" w:color="auto" w:fill="auto"/>
            <w:tcMar>
              <w:top w:w="15" w:type="dxa"/>
              <w:left w:w="108" w:type="dxa"/>
              <w:bottom w:w="0" w:type="dxa"/>
              <w:right w:w="108" w:type="dxa"/>
            </w:tcMar>
            <w:vAlign w:val="center"/>
            <w:hideMark/>
          </w:tcPr>
          <w:p w:rsidR="00616E08" w:rsidRPr="00CD2C23" w:rsidRDefault="0076494B" w:rsidP="00A92922">
            <w:pPr>
              <w:pStyle w:val="Default"/>
              <w:jc w:val="both"/>
            </w:pPr>
            <w:r w:rsidRPr="00CD2C23">
              <w:t xml:space="preserve">A </w:t>
            </w:r>
            <w:r w:rsidRPr="00FF0193">
              <w:t xml:space="preserve">quality </w:t>
            </w:r>
            <w:r w:rsidRPr="00CD2C23">
              <w:t>supplement should be developed in order to ensure that children. This should reflect the importance and value of QTS in Early Education. This should only be received where the QTS works directly with the children and whose qualification is Early Years Spec</w:t>
            </w:r>
            <w:r w:rsidRPr="00CD2C23">
              <w:t xml:space="preserve">ialism. </w:t>
            </w:r>
          </w:p>
        </w:tc>
      </w:tr>
      <w:tr w:rsidR="00FF1399" w:rsidTr="00A92922">
        <w:trPr>
          <w:trHeight w:val="20"/>
        </w:trPr>
        <w:tc>
          <w:tcPr>
            <w:tcW w:w="5000" w:type="pct"/>
            <w:shd w:val="clear" w:color="auto" w:fill="auto"/>
            <w:tcMar>
              <w:top w:w="15" w:type="dxa"/>
              <w:left w:w="108" w:type="dxa"/>
              <w:bottom w:w="0" w:type="dxa"/>
              <w:right w:w="108" w:type="dxa"/>
            </w:tcMar>
            <w:vAlign w:val="bottom"/>
          </w:tcPr>
          <w:p w:rsidR="00616E08" w:rsidRPr="00FF0193" w:rsidRDefault="0076494B" w:rsidP="00A92922">
            <w:pPr>
              <w:pStyle w:val="Default"/>
              <w:jc w:val="both"/>
            </w:pPr>
            <w:r w:rsidRPr="00FF0193">
              <w:t>EAL, SEN, Quality these are areas which dramatically influence the financial stability of a private childcare setting and if being delivered to a high quality should be reimbursed</w:t>
            </w:r>
          </w:p>
        </w:tc>
      </w:tr>
      <w:tr w:rsidR="00FF1399" w:rsidTr="00A92922">
        <w:trPr>
          <w:trHeight w:val="20"/>
        </w:trPr>
        <w:tc>
          <w:tcPr>
            <w:tcW w:w="5000" w:type="pct"/>
            <w:shd w:val="clear" w:color="auto" w:fill="auto"/>
            <w:tcMar>
              <w:top w:w="15" w:type="dxa"/>
              <w:left w:w="108" w:type="dxa"/>
              <w:bottom w:w="0" w:type="dxa"/>
              <w:right w:w="108" w:type="dxa"/>
            </w:tcMar>
            <w:vAlign w:val="bottom"/>
          </w:tcPr>
          <w:p w:rsidR="00616E08" w:rsidRPr="00FF0193" w:rsidRDefault="0076494B" w:rsidP="00A92922">
            <w:pPr>
              <w:pStyle w:val="Default"/>
              <w:jc w:val="both"/>
            </w:pPr>
            <w:r w:rsidRPr="00FF0193">
              <w:t>In order to plan and retain staff we would like the funding to stay as stable as possible. Fluctuation from year to year and term to term is difficult to manage and can impact on quality of staffing. I do feel there should possibly be some supplement which</w:t>
            </w:r>
            <w:r w:rsidRPr="00FF0193">
              <w:t xml:space="preserve"> rewards quality, but defining quality is difficult. Research as evidenced quality often comes with QTS teachers and fully trained SENCos.  </w:t>
            </w:r>
          </w:p>
        </w:tc>
      </w:tr>
      <w:tr w:rsidR="00FF1399" w:rsidTr="00A92922">
        <w:trPr>
          <w:trHeight w:val="20"/>
        </w:trPr>
        <w:tc>
          <w:tcPr>
            <w:tcW w:w="5000" w:type="pct"/>
            <w:shd w:val="clear" w:color="auto" w:fill="auto"/>
            <w:tcMar>
              <w:top w:w="15" w:type="dxa"/>
              <w:left w:w="108" w:type="dxa"/>
              <w:bottom w:w="0" w:type="dxa"/>
              <w:right w:w="108" w:type="dxa"/>
            </w:tcMar>
            <w:vAlign w:val="bottom"/>
          </w:tcPr>
          <w:p w:rsidR="00616E08" w:rsidRPr="00FF0193" w:rsidRDefault="0076494B" w:rsidP="00A92922">
            <w:pPr>
              <w:pStyle w:val="Default"/>
              <w:jc w:val="both"/>
            </w:pPr>
            <w:r w:rsidRPr="00FF0193">
              <w:t>If one of the supplements includes support to provide a teacher, that should be included.</w:t>
            </w:r>
          </w:p>
        </w:tc>
      </w:tr>
    </w:tbl>
    <w:p w:rsidR="00616E08" w:rsidRPr="00FF0193" w:rsidRDefault="0076494B" w:rsidP="00616E08">
      <w:pPr>
        <w:pStyle w:val="Default"/>
        <w:jc w:val="both"/>
      </w:pPr>
    </w:p>
    <w:p w:rsidR="00616E08" w:rsidRDefault="0076494B" w:rsidP="00616E08">
      <w:pPr>
        <w:pStyle w:val="Default"/>
        <w:jc w:val="both"/>
        <w:rPr>
          <w:b/>
        </w:rPr>
      </w:pPr>
    </w:p>
    <w:p w:rsidR="00616E08" w:rsidRDefault="0076494B" w:rsidP="00616E08">
      <w:pPr>
        <w:pStyle w:val="Default"/>
        <w:numPr>
          <w:ilvl w:val="0"/>
          <w:numId w:val="2"/>
        </w:numPr>
        <w:jc w:val="both"/>
        <w:rPr>
          <w:b/>
        </w:rPr>
      </w:pPr>
      <w:r w:rsidRPr="009C4200">
        <w:rPr>
          <w:b/>
        </w:rPr>
        <w:t>SEN Inclusion Fund (A</w:t>
      </w:r>
      <w:r w:rsidRPr="009C4200">
        <w:rPr>
          <w:b/>
        </w:rPr>
        <w:t>dditional Inclusion Support)</w:t>
      </w:r>
    </w:p>
    <w:p w:rsidR="00616E08" w:rsidRPr="009C4200" w:rsidRDefault="0076494B" w:rsidP="00616E08">
      <w:pPr>
        <w:pStyle w:val="Default"/>
        <w:jc w:val="both"/>
      </w:pPr>
      <w:r w:rsidRPr="009C4200">
        <w:t>SEN Inclusion Fund</w:t>
      </w:r>
      <w:r>
        <w:t xml:space="preserve">s are a </w:t>
      </w:r>
      <w:r w:rsidRPr="009C4200">
        <w:t xml:space="preserve">requirement of </w:t>
      </w:r>
      <w:r>
        <w:t xml:space="preserve">the </w:t>
      </w:r>
      <w:r w:rsidRPr="009C4200">
        <w:t>EYNFF</w:t>
      </w:r>
      <w:r>
        <w:t xml:space="preserve">.  It is proposed to </w:t>
      </w:r>
      <w:r w:rsidRPr="009C4200">
        <w:t>continue current £150k level</w:t>
      </w:r>
      <w:r>
        <w:t xml:space="preserve"> of funding in 2017/18.</w:t>
      </w:r>
    </w:p>
    <w:p w:rsidR="00616E08" w:rsidRDefault="0076494B" w:rsidP="00616E08">
      <w:pPr>
        <w:pStyle w:val="Default"/>
        <w:jc w:val="both"/>
      </w:pPr>
    </w:p>
    <w:p w:rsidR="00616E08" w:rsidRDefault="0076494B" w:rsidP="00616E08">
      <w:pPr>
        <w:pStyle w:val="Default"/>
        <w:jc w:val="both"/>
        <w:rPr>
          <w:b/>
          <w:i/>
          <w:iCs/>
        </w:rPr>
      </w:pPr>
      <w:r w:rsidRPr="0042135D">
        <w:rPr>
          <w:b/>
          <w:i/>
          <w:iCs/>
        </w:rPr>
        <w:t>Q5. Do you agree that the SEN Inclusion Fund (known as Additional Inclusion</w:t>
      </w:r>
      <w:r w:rsidRPr="0042135D">
        <w:t xml:space="preserve"> </w:t>
      </w:r>
      <w:r w:rsidRPr="0042135D">
        <w:rPr>
          <w:b/>
          <w:i/>
          <w:iCs/>
        </w:rPr>
        <w:t>Support in Lancashire) shou</w:t>
      </w:r>
      <w:r w:rsidRPr="0042135D">
        <w:rPr>
          <w:b/>
          <w:i/>
          <w:iCs/>
        </w:rPr>
        <w:t>ld remain at £150,000 in 2018/19?</w:t>
      </w:r>
    </w:p>
    <w:p w:rsidR="00616E08" w:rsidRDefault="0076494B" w:rsidP="00616E08">
      <w:pPr>
        <w:pStyle w:val="Default"/>
        <w:rPr>
          <w:b/>
          <w:i/>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41"/>
        <w:gridCol w:w="2265"/>
        <w:gridCol w:w="2265"/>
        <w:gridCol w:w="2265"/>
      </w:tblGrid>
      <w:tr w:rsidR="00FF1399" w:rsidTr="00A92922">
        <w:trPr>
          <w:trHeight w:val="283"/>
          <w:jc w:val="center"/>
        </w:trPr>
        <w:tc>
          <w:tcPr>
            <w:tcW w:w="1511" w:type="pct"/>
            <w:shd w:val="clear" w:color="auto" w:fill="auto"/>
            <w:tcMar>
              <w:top w:w="15" w:type="dxa"/>
              <w:left w:w="108" w:type="dxa"/>
              <w:bottom w:w="0" w:type="dxa"/>
              <w:right w:w="108" w:type="dxa"/>
            </w:tcMar>
            <w:vAlign w:val="center"/>
            <w:hideMark/>
          </w:tcPr>
          <w:p w:rsidR="00616E08" w:rsidRPr="0042135D" w:rsidRDefault="0076494B" w:rsidP="00A92922">
            <w:pPr>
              <w:pStyle w:val="Default"/>
              <w:jc w:val="center"/>
              <w:rPr>
                <w:b/>
              </w:rPr>
            </w:pPr>
            <w:r w:rsidRPr="0042135D">
              <w:rPr>
                <w:b/>
              </w:rPr>
              <w:t>Responses</w:t>
            </w:r>
          </w:p>
        </w:tc>
        <w:tc>
          <w:tcPr>
            <w:tcW w:w="1163" w:type="pct"/>
            <w:shd w:val="clear" w:color="auto" w:fill="auto"/>
            <w:tcMar>
              <w:top w:w="15" w:type="dxa"/>
              <w:left w:w="108" w:type="dxa"/>
              <w:bottom w:w="0" w:type="dxa"/>
              <w:right w:w="108" w:type="dxa"/>
            </w:tcMar>
            <w:vAlign w:val="center"/>
            <w:hideMark/>
          </w:tcPr>
          <w:p w:rsidR="00616E08" w:rsidRPr="0042135D" w:rsidRDefault="0076494B" w:rsidP="00A92922">
            <w:pPr>
              <w:pStyle w:val="Default"/>
              <w:jc w:val="center"/>
              <w:rPr>
                <w:b/>
              </w:rPr>
            </w:pPr>
            <w:r w:rsidRPr="0042135D">
              <w:rPr>
                <w:b/>
              </w:rPr>
              <w:t>Yes</w:t>
            </w:r>
          </w:p>
        </w:tc>
        <w:tc>
          <w:tcPr>
            <w:tcW w:w="1163" w:type="pct"/>
            <w:shd w:val="clear" w:color="auto" w:fill="auto"/>
            <w:tcMar>
              <w:top w:w="15" w:type="dxa"/>
              <w:left w:w="108" w:type="dxa"/>
              <w:bottom w:w="0" w:type="dxa"/>
              <w:right w:w="108" w:type="dxa"/>
            </w:tcMar>
            <w:vAlign w:val="center"/>
            <w:hideMark/>
          </w:tcPr>
          <w:p w:rsidR="00616E08" w:rsidRPr="0042135D" w:rsidRDefault="0076494B" w:rsidP="00A92922">
            <w:pPr>
              <w:pStyle w:val="Default"/>
              <w:jc w:val="center"/>
              <w:rPr>
                <w:b/>
              </w:rPr>
            </w:pPr>
            <w:r w:rsidRPr="0042135D">
              <w:rPr>
                <w:b/>
              </w:rPr>
              <w:t>No</w:t>
            </w:r>
          </w:p>
        </w:tc>
        <w:tc>
          <w:tcPr>
            <w:tcW w:w="1163" w:type="pct"/>
            <w:shd w:val="clear" w:color="auto" w:fill="auto"/>
            <w:tcMar>
              <w:top w:w="15" w:type="dxa"/>
              <w:left w:w="108" w:type="dxa"/>
              <w:bottom w:w="0" w:type="dxa"/>
              <w:right w:w="108" w:type="dxa"/>
            </w:tcMar>
            <w:vAlign w:val="center"/>
            <w:hideMark/>
          </w:tcPr>
          <w:p w:rsidR="00616E08" w:rsidRPr="0042135D" w:rsidRDefault="0076494B" w:rsidP="00A92922">
            <w:pPr>
              <w:pStyle w:val="Default"/>
              <w:jc w:val="center"/>
              <w:rPr>
                <w:b/>
              </w:rPr>
            </w:pPr>
            <w:r w:rsidRPr="0042135D">
              <w:rPr>
                <w:b/>
              </w:rPr>
              <w:t>Not sure</w:t>
            </w:r>
          </w:p>
        </w:tc>
      </w:tr>
      <w:tr w:rsidR="00FF1399" w:rsidTr="00A92922">
        <w:trPr>
          <w:trHeight w:val="283"/>
          <w:jc w:val="center"/>
        </w:trPr>
        <w:tc>
          <w:tcPr>
            <w:tcW w:w="1511" w:type="pct"/>
            <w:shd w:val="clear" w:color="auto" w:fill="auto"/>
            <w:tcMar>
              <w:top w:w="15" w:type="dxa"/>
              <w:left w:w="15" w:type="dxa"/>
              <w:bottom w:w="0" w:type="dxa"/>
              <w:right w:w="15" w:type="dxa"/>
            </w:tcMar>
            <w:vAlign w:val="center"/>
            <w:hideMark/>
          </w:tcPr>
          <w:p w:rsidR="00616E08" w:rsidRPr="004F30E6" w:rsidRDefault="0076494B" w:rsidP="00A92922">
            <w:pPr>
              <w:pStyle w:val="Default"/>
              <w:jc w:val="center"/>
              <w:rPr>
                <w:b/>
              </w:rPr>
            </w:pPr>
            <w:r w:rsidRPr="004F30E6">
              <w:rPr>
                <w:b/>
                <w:bCs/>
              </w:rPr>
              <w:t>88</w:t>
            </w:r>
          </w:p>
        </w:tc>
        <w:tc>
          <w:tcPr>
            <w:tcW w:w="1163" w:type="pct"/>
            <w:shd w:val="clear" w:color="auto" w:fill="auto"/>
            <w:tcMar>
              <w:top w:w="15" w:type="dxa"/>
              <w:left w:w="15" w:type="dxa"/>
              <w:bottom w:w="0" w:type="dxa"/>
              <w:right w:w="15" w:type="dxa"/>
            </w:tcMar>
            <w:vAlign w:val="bottom"/>
            <w:hideMark/>
          </w:tcPr>
          <w:p w:rsidR="00616E08" w:rsidRPr="004F30E6" w:rsidRDefault="0076494B" w:rsidP="00A92922">
            <w:pPr>
              <w:pStyle w:val="Default"/>
              <w:jc w:val="center"/>
              <w:rPr>
                <w:b/>
              </w:rPr>
            </w:pPr>
            <w:r w:rsidRPr="004F30E6">
              <w:rPr>
                <w:b/>
              </w:rPr>
              <w:t>57.9%</w:t>
            </w:r>
          </w:p>
        </w:tc>
        <w:tc>
          <w:tcPr>
            <w:tcW w:w="1163" w:type="pct"/>
            <w:shd w:val="clear" w:color="auto" w:fill="auto"/>
            <w:tcMar>
              <w:top w:w="15" w:type="dxa"/>
              <w:left w:w="15" w:type="dxa"/>
              <w:bottom w:w="0" w:type="dxa"/>
              <w:right w:w="15" w:type="dxa"/>
            </w:tcMar>
            <w:vAlign w:val="bottom"/>
            <w:hideMark/>
          </w:tcPr>
          <w:p w:rsidR="00616E08" w:rsidRPr="004F30E6" w:rsidRDefault="0076494B" w:rsidP="00A92922">
            <w:pPr>
              <w:pStyle w:val="Default"/>
              <w:jc w:val="center"/>
              <w:rPr>
                <w:b/>
              </w:rPr>
            </w:pPr>
            <w:r w:rsidRPr="004F30E6">
              <w:rPr>
                <w:b/>
              </w:rPr>
              <w:t>11.4%</w:t>
            </w:r>
          </w:p>
        </w:tc>
        <w:tc>
          <w:tcPr>
            <w:tcW w:w="1163" w:type="pct"/>
            <w:shd w:val="clear" w:color="auto" w:fill="auto"/>
            <w:tcMar>
              <w:top w:w="15" w:type="dxa"/>
              <w:left w:w="15" w:type="dxa"/>
              <w:bottom w:w="0" w:type="dxa"/>
              <w:right w:w="15" w:type="dxa"/>
            </w:tcMar>
            <w:vAlign w:val="bottom"/>
            <w:hideMark/>
          </w:tcPr>
          <w:p w:rsidR="00616E08" w:rsidRPr="004F30E6" w:rsidRDefault="0076494B" w:rsidP="00A92922">
            <w:pPr>
              <w:pStyle w:val="Default"/>
              <w:jc w:val="center"/>
              <w:rPr>
                <w:b/>
              </w:rPr>
            </w:pPr>
            <w:r w:rsidRPr="004F30E6">
              <w:rPr>
                <w:b/>
              </w:rPr>
              <w:t>30.7%</w:t>
            </w:r>
          </w:p>
        </w:tc>
      </w:tr>
    </w:tbl>
    <w:p w:rsidR="00616E08" w:rsidRDefault="0076494B" w:rsidP="00616E08">
      <w:pPr>
        <w:pStyle w:val="Default"/>
      </w:pPr>
    </w:p>
    <w:p w:rsidR="00616E08" w:rsidRDefault="0076494B" w:rsidP="00616E08">
      <w:pPr>
        <w:pStyle w:val="Default"/>
        <w:jc w:val="both"/>
        <w:rPr>
          <w:b/>
        </w:rPr>
      </w:pPr>
      <w:r w:rsidRPr="0042135D">
        <w:rPr>
          <w:b/>
        </w:rPr>
        <w:t>Q5 Comments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36"/>
      </w:tblGrid>
      <w:tr w:rsidR="00FF1399" w:rsidTr="00A92922">
        <w:trPr>
          <w:trHeight w:val="20"/>
        </w:trPr>
        <w:tc>
          <w:tcPr>
            <w:tcW w:w="5000" w:type="pct"/>
            <w:shd w:val="clear" w:color="auto" w:fill="auto"/>
            <w:tcMar>
              <w:top w:w="15" w:type="dxa"/>
              <w:left w:w="15" w:type="dxa"/>
              <w:bottom w:w="0" w:type="dxa"/>
              <w:right w:w="15" w:type="dxa"/>
            </w:tcMar>
            <w:vAlign w:val="bottom"/>
            <w:hideMark/>
          </w:tcPr>
          <w:p w:rsidR="00616E08" w:rsidRPr="0042135D" w:rsidRDefault="0076494B" w:rsidP="00A92922">
            <w:pPr>
              <w:pStyle w:val="Default"/>
              <w:jc w:val="both"/>
            </w:pPr>
            <w:r w:rsidRPr="0042135D">
              <w:t>Currently have no children that qualify</w:t>
            </w:r>
          </w:p>
        </w:tc>
      </w:tr>
      <w:tr w:rsidR="00FF1399" w:rsidTr="00A92922">
        <w:trPr>
          <w:trHeight w:val="20"/>
        </w:trPr>
        <w:tc>
          <w:tcPr>
            <w:tcW w:w="5000" w:type="pct"/>
            <w:shd w:val="clear" w:color="auto" w:fill="auto"/>
            <w:tcMar>
              <w:top w:w="15" w:type="dxa"/>
              <w:left w:w="15" w:type="dxa"/>
              <w:bottom w:w="0" w:type="dxa"/>
              <w:right w:w="15" w:type="dxa"/>
            </w:tcMar>
            <w:vAlign w:val="bottom"/>
            <w:hideMark/>
          </w:tcPr>
          <w:p w:rsidR="00616E08" w:rsidRPr="0042135D" w:rsidRDefault="0076494B" w:rsidP="00A92922">
            <w:pPr>
              <w:pStyle w:val="Default"/>
              <w:jc w:val="both"/>
            </w:pPr>
            <w:r w:rsidRPr="0042135D">
              <w:rPr>
                <w:lang w:val="en-US"/>
              </w:rPr>
              <w:t>I know LCC</w:t>
            </w:r>
            <w:r w:rsidRPr="0042135D">
              <w:rPr>
                <w:lang w:val="en-US"/>
              </w:rPr>
              <w:t xml:space="preserve"> give us what they can, but it is not enough if a child needs 1:1 for their safety (e.g. They can't communicate)</w:t>
            </w:r>
          </w:p>
        </w:tc>
      </w:tr>
      <w:tr w:rsidR="00FF1399" w:rsidTr="00A92922">
        <w:trPr>
          <w:trHeight w:val="20"/>
        </w:trPr>
        <w:tc>
          <w:tcPr>
            <w:tcW w:w="5000" w:type="pct"/>
            <w:shd w:val="clear" w:color="auto" w:fill="auto"/>
            <w:tcMar>
              <w:top w:w="15" w:type="dxa"/>
              <w:left w:w="15" w:type="dxa"/>
              <w:bottom w:w="0" w:type="dxa"/>
              <w:right w:w="15" w:type="dxa"/>
            </w:tcMar>
            <w:vAlign w:val="bottom"/>
            <w:hideMark/>
          </w:tcPr>
          <w:p w:rsidR="00616E08" w:rsidRPr="0042135D" w:rsidRDefault="0076494B" w:rsidP="00A92922">
            <w:pPr>
              <w:pStyle w:val="Default"/>
              <w:jc w:val="both"/>
            </w:pPr>
            <w:r w:rsidRPr="0042135D">
              <w:rPr>
                <w:lang w:val="en-US"/>
              </w:rPr>
              <w:t>More transparency regarding how much of the funding is spent on the children and the outcomes this achieves. Nursery Schools must also be cons</w:t>
            </w:r>
            <w:r w:rsidRPr="0042135D">
              <w:rPr>
                <w:lang w:val="en-US"/>
              </w:rPr>
              <w:t>idered as centres of excellence in supporting children with SEN and as such be rewarded for it.</w:t>
            </w:r>
          </w:p>
        </w:tc>
      </w:tr>
      <w:tr w:rsidR="00FF1399" w:rsidTr="00A92922">
        <w:trPr>
          <w:trHeight w:val="20"/>
        </w:trPr>
        <w:tc>
          <w:tcPr>
            <w:tcW w:w="5000" w:type="pct"/>
            <w:shd w:val="clear" w:color="auto" w:fill="auto"/>
            <w:tcMar>
              <w:top w:w="15" w:type="dxa"/>
              <w:left w:w="15" w:type="dxa"/>
              <w:bottom w:w="0" w:type="dxa"/>
              <w:right w:w="15" w:type="dxa"/>
            </w:tcMar>
            <w:vAlign w:val="bottom"/>
            <w:hideMark/>
          </w:tcPr>
          <w:p w:rsidR="00616E08" w:rsidRPr="0042135D" w:rsidRDefault="0076494B" w:rsidP="00A92922">
            <w:pPr>
              <w:pStyle w:val="Default"/>
              <w:jc w:val="both"/>
            </w:pPr>
            <w:r w:rsidRPr="0042135D">
              <w:rPr>
                <w:lang w:val="en-US"/>
              </w:rPr>
              <w:lastRenderedPageBreak/>
              <w:t>Under the present arrangements, we are finding an increasing number of children coming into the school at 2 via funded sessions through low income or Portage/S</w:t>
            </w:r>
            <w:r w:rsidRPr="0042135D">
              <w:rPr>
                <w:lang w:val="en-US"/>
              </w:rPr>
              <w:t xml:space="preserve">END needs.  These children often require additional support and identification and there is no funding or support for this.  This puts an already extremely stretched system at breaking point.  </w:t>
            </w:r>
          </w:p>
        </w:tc>
      </w:tr>
      <w:tr w:rsidR="00FF1399" w:rsidTr="00A92922">
        <w:trPr>
          <w:trHeight w:val="20"/>
        </w:trPr>
        <w:tc>
          <w:tcPr>
            <w:tcW w:w="5000" w:type="pct"/>
            <w:shd w:val="clear" w:color="auto" w:fill="auto"/>
            <w:tcMar>
              <w:top w:w="15" w:type="dxa"/>
              <w:left w:w="15" w:type="dxa"/>
              <w:bottom w:w="0" w:type="dxa"/>
              <w:right w:w="15" w:type="dxa"/>
            </w:tcMar>
            <w:vAlign w:val="bottom"/>
            <w:hideMark/>
          </w:tcPr>
          <w:p w:rsidR="00616E08" w:rsidRPr="0042135D" w:rsidRDefault="0076494B" w:rsidP="00A92922">
            <w:pPr>
              <w:pStyle w:val="Default"/>
              <w:jc w:val="both"/>
            </w:pPr>
            <w:r w:rsidRPr="0042135D">
              <w:rPr>
                <w:lang w:val="en-US"/>
              </w:rPr>
              <w:t>Or increase. It certainly should not decrease.</w:t>
            </w:r>
          </w:p>
        </w:tc>
      </w:tr>
      <w:tr w:rsidR="00FF1399" w:rsidTr="00A92922">
        <w:trPr>
          <w:trHeight w:val="20"/>
        </w:trPr>
        <w:tc>
          <w:tcPr>
            <w:tcW w:w="5000" w:type="pct"/>
            <w:shd w:val="clear" w:color="auto" w:fill="auto"/>
            <w:tcMar>
              <w:top w:w="15" w:type="dxa"/>
              <w:left w:w="15" w:type="dxa"/>
              <w:bottom w:w="0" w:type="dxa"/>
              <w:right w:w="15" w:type="dxa"/>
            </w:tcMar>
            <w:vAlign w:val="bottom"/>
            <w:hideMark/>
          </w:tcPr>
          <w:p w:rsidR="00616E08" w:rsidRPr="0042135D" w:rsidRDefault="0076494B" w:rsidP="00A92922">
            <w:pPr>
              <w:pStyle w:val="Default"/>
              <w:jc w:val="both"/>
            </w:pPr>
            <w:r w:rsidRPr="0042135D">
              <w:rPr>
                <w:lang w:val="en-US"/>
              </w:rPr>
              <w:t xml:space="preserve">The SEN team </w:t>
            </w:r>
            <w:r w:rsidRPr="0042135D">
              <w:rPr>
                <w:lang w:val="en-US"/>
              </w:rPr>
              <w:t>needs to review it's structure. Nursery Schools in particular are struggling to meet all the costs. We always have children moving to us mid term because other settings have not been able to meet the children's requirements. The amount of time SENCOs spend</w:t>
            </w:r>
            <w:r w:rsidRPr="0042135D">
              <w:rPr>
                <w:lang w:val="en-US"/>
              </w:rPr>
              <w:t xml:space="preserve"> to complete paperwork which is more often than not repetitive is causing a strain on the staffing budget. Additional staff needed to support children with complex educational and health needs is also a drain on the budget.</w:t>
            </w:r>
          </w:p>
        </w:tc>
      </w:tr>
      <w:tr w:rsidR="00FF1399" w:rsidTr="00A92922">
        <w:trPr>
          <w:trHeight w:val="20"/>
        </w:trPr>
        <w:tc>
          <w:tcPr>
            <w:tcW w:w="5000" w:type="pct"/>
            <w:shd w:val="clear" w:color="auto" w:fill="auto"/>
            <w:tcMar>
              <w:top w:w="15" w:type="dxa"/>
              <w:left w:w="15" w:type="dxa"/>
              <w:bottom w:w="0" w:type="dxa"/>
              <w:right w:w="15" w:type="dxa"/>
            </w:tcMar>
            <w:vAlign w:val="bottom"/>
            <w:hideMark/>
          </w:tcPr>
          <w:p w:rsidR="00616E08" w:rsidRPr="0042135D" w:rsidRDefault="0076494B" w:rsidP="00A92922">
            <w:pPr>
              <w:pStyle w:val="Default"/>
              <w:jc w:val="both"/>
            </w:pPr>
            <w:r w:rsidRPr="0042135D">
              <w:rPr>
                <w:lang w:val="en-US"/>
              </w:rPr>
              <w:t>Actual funding should come in t</w:t>
            </w:r>
            <w:r w:rsidRPr="0042135D">
              <w:rPr>
                <w:lang w:val="en-US"/>
              </w:rPr>
              <w:t>o settings alongside specialist support. Maintained Nursery Schools often do not receive finance to support SEND children as we work very hard to provide a high quality service even with low budgets - this puts a great deal of pressure on staff.</w:t>
            </w:r>
          </w:p>
        </w:tc>
      </w:tr>
      <w:tr w:rsidR="00FF1399" w:rsidTr="00A92922">
        <w:trPr>
          <w:trHeight w:val="20"/>
        </w:trPr>
        <w:tc>
          <w:tcPr>
            <w:tcW w:w="5000" w:type="pct"/>
            <w:shd w:val="clear" w:color="auto" w:fill="auto"/>
            <w:tcMar>
              <w:top w:w="15" w:type="dxa"/>
              <w:left w:w="15" w:type="dxa"/>
              <w:bottom w:w="0" w:type="dxa"/>
              <w:right w:w="15" w:type="dxa"/>
            </w:tcMar>
            <w:vAlign w:val="bottom"/>
            <w:hideMark/>
          </w:tcPr>
          <w:p w:rsidR="00616E08" w:rsidRPr="0042135D" w:rsidRDefault="0076494B" w:rsidP="00A92922">
            <w:pPr>
              <w:pStyle w:val="Default"/>
              <w:jc w:val="both"/>
            </w:pPr>
            <w:r w:rsidRPr="0042135D">
              <w:rPr>
                <w:lang w:val="en-US"/>
              </w:rPr>
              <w:t>No idea i</w:t>
            </w:r>
            <w:r w:rsidRPr="0042135D">
              <w:rPr>
                <w:lang w:val="en-US"/>
              </w:rPr>
              <w:t>f this is sufficient or not.</w:t>
            </w:r>
          </w:p>
        </w:tc>
      </w:tr>
      <w:tr w:rsidR="00FF1399" w:rsidTr="00A92922">
        <w:trPr>
          <w:trHeight w:val="20"/>
        </w:trPr>
        <w:tc>
          <w:tcPr>
            <w:tcW w:w="5000" w:type="pct"/>
            <w:shd w:val="clear" w:color="auto" w:fill="auto"/>
            <w:tcMar>
              <w:top w:w="15" w:type="dxa"/>
              <w:left w:w="15" w:type="dxa"/>
              <w:bottom w:w="0" w:type="dxa"/>
              <w:right w:w="15" w:type="dxa"/>
            </w:tcMar>
            <w:vAlign w:val="bottom"/>
            <w:hideMark/>
          </w:tcPr>
          <w:p w:rsidR="00616E08" w:rsidRPr="0042135D" w:rsidRDefault="0076494B" w:rsidP="00A92922">
            <w:pPr>
              <w:pStyle w:val="Default"/>
              <w:jc w:val="both"/>
            </w:pPr>
            <w:r w:rsidRPr="0042135D">
              <w:rPr>
                <w:lang w:val="en-US"/>
              </w:rPr>
              <w:t>We have a significant number of children on roll for whom this additional funding is very important.</w:t>
            </w:r>
          </w:p>
        </w:tc>
      </w:tr>
      <w:tr w:rsidR="00FF1399" w:rsidTr="00A92922">
        <w:trPr>
          <w:trHeight w:val="20"/>
        </w:trPr>
        <w:tc>
          <w:tcPr>
            <w:tcW w:w="5000" w:type="pct"/>
            <w:shd w:val="clear" w:color="auto" w:fill="auto"/>
            <w:tcMar>
              <w:top w:w="15" w:type="dxa"/>
              <w:left w:w="15" w:type="dxa"/>
              <w:bottom w:w="0" w:type="dxa"/>
              <w:right w:w="15" w:type="dxa"/>
            </w:tcMar>
            <w:vAlign w:val="bottom"/>
            <w:hideMark/>
          </w:tcPr>
          <w:p w:rsidR="00616E08" w:rsidRPr="0042135D" w:rsidRDefault="0076494B" w:rsidP="00A92922">
            <w:pPr>
              <w:pStyle w:val="Default"/>
              <w:jc w:val="both"/>
            </w:pPr>
            <w:r w:rsidRPr="0042135D">
              <w:rPr>
                <w:lang w:val="en-US"/>
              </w:rPr>
              <w:t>I don't think this should be reduced and I would like to stress that the DAFF</w:t>
            </w:r>
            <w:r w:rsidRPr="0042135D">
              <w:rPr>
                <w:lang w:val="en-US"/>
              </w:rPr>
              <w:t xml:space="preserve"> funding remains totally separate as there has been some speculation that AIS may be reduced  due to the existence of DAFF</w:t>
            </w:r>
          </w:p>
        </w:tc>
      </w:tr>
      <w:tr w:rsidR="00FF1399" w:rsidTr="00A92922">
        <w:trPr>
          <w:trHeight w:val="20"/>
        </w:trPr>
        <w:tc>
          <w:tcPr>
            <w:tcW w:w="5000" w:type="pct"/>
            <w:shd w:val="clear" w:color="auto" w:fill="auto"/>
            <w:tcMar>
              <w:top w:w="15" w:type="dxa"/>
              <w:left w:w="15" w:type="dxa"/>
              <w:bottom w:w="0" w:type="dxa"/>
              <w:right w:w="15" w:type="dxa"/>
            </w:tcMar>
            <w:vAlign w:val="bottom"/>
          </w:tcPr>
          <w:p w:rsidR="00616E08" w:rsidRPr="00FF0193" w:rsidRDefault="0076494B" w:rsidP="00A92922">
            <w:pPr>
              <w:pStyle w:val="Default"/>
              <w:jc w:val="both"/>
              <w:rPr>
                <w:lang w:val="en-US"/>
              </w:rPr>
            </w:pPr>
            <w:r w:rsidRPr="00FF0193">
              <w:rPr>
                <w:lang w:val="en-US"/>
              </w:rPr>
              <w:t>Again to enable a judgement supportive statistics are needed to assess better - SEN funding remains extremely difficult to access in</w:t>
            </w:r>
            <w:r w:rsidRPr="00FF0193">
              <w:rPr>
                <w:lang w:val="en-US"/>
              </w:rPr>
              <w:t xml:space="preserve"> my own personal experience</w:t>
            </w:r>
          </w:p>
        </w:tc>
      </w:tr>
      <w:tr w:rsidR="00FF1399" w:rsidTr="00A92922">
        <w:trPr>
          <w:trHeight w:val="20"/>
        </w:trPr>
        <w:tc>
          <w:tcPr>
            <w:tcW w:w="5000" w:type="pct"/>
            <w:shd w:val="clear" w:color="auto" w:fill="auto"/>
            <w:tcMar>
              <w:top w:w="15" w:type="dxa"/>
              <w:left w:w="15" w:type="dxa"/>
              <w:bottom w:w="0" w:type="dxa"/>
              <w:right w:w="15" w:type="dxa"/>
            </w:tcMar>
            <w:vAlign w:val="bottom"/>
          </w:tcPr>
          <w:p w:rsidR="00616E08" w:rsidRPr="00FF0193" w:rsidRDefault="0076494B" w:rsidP="00A92922">
            <w:pPr>
              <w:pStyle w:val="Default"/>
              <w:jc w:val="both"/>
              <w:rPr>
                <w:lang w:val="en-US"/>
              </w:rPr>
            </w:pPr>
            <w:r w:rsidRPr="00FF0193">
              <w:rPr>
                <w:lang w:val="en-US"/>
              </w:rPr>
              <w:t>There is a large gap in the complex needs of the SENd children who access our provision and the amount of funding we receive for them. Some nurseries (both of mine) have a very high number of children with complex needs the AIS</w:t>
            </w:r>
            <w:r w:rsidRPr="00FF0193">
              <w:rPr>
                <w:lang w:val="en-US"/>
              </w:rPr>
              <w:t xml:space="preserve"> funding does not come close to meeting these needs. I think the impact of this AIS money needs evaluating, is it being used effectively for the right children and making a difference? </w:t>
            </w:r>
          </w:p>
        </w:tc>
      </w:tr>
      <w:tr w:rsidR="00FF1399" w:rsidTr="00A92922">
        <w:trPr>
          <w:trHeight w:val="20"/>
        </w:trPr>
        <w:tc>
          <w:tcPr>
            <w:tcW w:w="5000" w:type="pct"/>
            <w:shd w:val="clear" w:color="auto" w:fill="auto"/>
            <w:tcMar>
              <w:top w:w="15" w:type="dxa"/>
              <w:left w:w="15" w:type="dxa"/>
              <w:bottom w:w="0" w:type="dxa"/>
              <w:right w:w="15" w:type="dxa"/>
            </w:tcMar>
            <w:vAlign w:val="bottom"/>
          </w:tcPr>
          <w:p w:rsidR="00616E08" w:rsidRPr="00FF0193" w:rsidRDefault="0076494B" w:rsidP="00A92922">
            <w:pPr>
              <w:pStyle w:val="Default"/>
              <w:jc w:val="both"/>
              <w:rPr>
                <w:lang w:val="en-US"/>
              </w:rPr>
            </w:pPr>
            <w:r w:rsidRPr="00FF0193">
              <w:rPr>
                <w:lang w:val="en-US"/>
              </w:rPr>
              <w:t>As always, more money for SEN is needed in school - the earlier the s</w:t>
            </w:r>
            <w:r w:rsidRPr="00FF0193">
              <w:rPr>
                <w:lang w:val="en-US"/>
              </w:rPr>
              <w:t>upport is given, the more chance they can catch up.</w:t>
            </w:r>
          </w:p>
        </w:tc>
      </w:tr>
      <w:tr w:rsidR="00FF1399" w:rsidTr="00A92922">
        <w:trPr>
          <w:trHeight w:val="20"/>
        </w:trPr>
        <w:tc>
          <w:tcPr>
            <w:tcW w:w="5000" w:type="pct"/>
            <w:shd w:val="clear" w:color="auto" w:fill="auto"/>
            <w:tcMar>
              <w:top w:w="15" w:type="dxa"/>
              <w:left w:w="15" w:type="dxa"/>
              <w:bottom w:w="0" w:type="dxa"/>
              <w:right w:w="15" w:type="dxa"/>
            </w:tcMar>
            <w:vAlign w:val="bottom"/>
          </w:tcPr>
          <w:p w:rsidR="00616E08" w:rsidRPr="00FF0193" w:rsidRDefault="0076494B" w:rsidP="00A92922">
            <w:pPr>
              <w:pStyle w:val="Default"/>
              <w:jc w:val="both"/>
              <w:rPr>
                <w:lang w:val="en-US"/>
              </w:rPr>
            </w:pPr>
            <w:r w:rsidRPr="00FF0193">
              <w:rPr>
                <w:lang w:val="en-US"/>
              </w:rPr>
              <w:t>AIS funding does not work in meeting the needs of children with SEN.  Insufficient funding is being passed through to providers for us to support children effectively.  Additional funding should be requested from the High Needs block as our work with child</w:t>
            </w:r>
            <w:r w:rsidRPr="00FF0193">
              <w:rPr>
                <w:lang w:val="en-US"/>
              </w:rPr>
              <w:t xml:space="preserve">ren with SEN is early intervention and prevention.  A mapping exercise would need to be undertaken to assess how much funding is needed for early years providers to support children with SEN.  </w:t>
            </w:r>
          </w:p>
        </w:tc>
      </w:tr>
      <w:tr w:rsidR="00FF1399" w:rsidTr="00A92922">
        <w:trPr>
          <w:trHeight w:val="20"/>
        </w:trPr>
        <w:tc>
          <w:tcPr>
            <w:tcW w:w="5000" w:type="pct"/>
            <w:shd w:val="clear" w:color="auto" w:fill="auto"/>
            <w:tcMar>
              <w:top w:w="15" w:type="dxa"/>
              <w:left w:w="15" w:type="dxa"/>
              <w:bottom w:w="0" w:type="dxa"/>
              <w:right w:w="15" w:type="dxa"/>
            </w:tcMar>
            <w:vAlign w:val="bottom"/>
          </w:tcPr>
          <w:p w:rsidR="00616E08" w:rsidRPr="00FF0193" w:rsidRDefault="0076494B" w:rsidP="00A92922">
            <w:pPr>
              <w:pStyle w:val="Default"/>
              <w:jc w:val="both"/>
              <w:rPr>
                <w:lang w:val="en-US"/>
              </w:rPr>
            </w:pPr>
            <w:r w:rsidRPr="00FF0193">
              <w:rPr>
                <w:lang w:val="en-US"/>
              </w:rPr>
              <w:t>AIS funding does not meet the needs of supporting children wi</w:t>
            </w:r>
            <w:r w:rsidRPr="00FF0193">
              <w:rPr>
                <w:lang w:val="en-US"/>
              </w:rPr>
              <w:t>th SEN. A mapping exercise would be beneficial to assess the funding needed for early years settings to support children with SEN.</w:t>
            </w:r>
          </w:p>
        </w:tc>
      </w:tr>
    </w:tbl>
    <w:p w:rsidR="00616E08" w:rsidRDefault="0076494B" w:rsidP="00616E08">
      <w:pPr>
        <w:pStyle w:val="Default"/>
        <w:jc w:val="both"/>
        <w:rPr>
          <w:b/>
        </w:rPr>
      </w:pPr>
    </w:p>
    <w:p w:rsidR="00616E08" w:rsidRDefault="0076494B" w:rsidP="00616E08">
      <w:pPr>
        <w:pStyle w:val="Default"/>
        <w:jc w:val="both"/>
        <w:rPr>
          <w:b/>
        </w:rPr>
      </w:pPr>
    </w:p>
    <w:p w:rsidR="00616E08" w:rsidRDefault="0076494B" w:rsidP="00616E08">
      <w:pPr>
        <w:pStyle w:val="Default"/>
        <w:numPr>
          <w:ilvl w:val="0"/>
          <w:numId w:val="2"/>
        </w:numPr>
        <w:jc w:val="both"/>
        <w:rPr>
          <w:b/>
        </w:rPr>
      </w:pPr>
      <w:r w:rsidRPr="00C91E05">
        <w:rPr>
          <w:b/>
        </w:rPr>
        <w:t>Two Year Old Funding</w:t>
      </w:r>
    </w:p>
    <w:p w:rsidR="00616E08" w:rsidRPr="00C91E05" w:rsidRDefault="0076494B" w:rsidP="00616E08">
      <w:pPr>
        <w:pStyle w:val="Default"/>
        <w:jc w:val="both"/>
      </w:pPr>
      <w:r w:rsidRPr="00C91E05">
        <w:t>When Two Year Old funding was introduced, allocations were split into two elements:</w:t>
      </w:r>
    </w:p>
    <w:p w:rsidR="00616E08" w:rsidRPr="00C91E05" w:rsidRDefault="0076494B" w:rsidP="00616E08">
      <w:pPr>
        <w:pStyle w:val="Default"/>
        <w:numPr>
          <w:ilvl w:val="0"/>
          <w:numId w:val="5"/>
        </w:numPr>
        <w:jc w:val="both"/>
      </w:pPr>
      <w:r w:rsidRPr="00C91E05">
        <w:t>Base Rate Funding</w:t>
      </w:r>
      <w:r w:rsidRPr="00C91E05">
        <w:t xml:space="preserve"> (£4.64 in 2017/18)</w:t>
      </w:r>
    </w:p>
    <w:p w:rsidR="00616E08" w:rsidRPr="00C91E05" w:rsidRDefault="0076494B" w:rsidP="00616E08">
      <w:pPr>
        <w:pStyle w:val="Default"/>
        <w:numPr>
          <w:ilvl w:val="0"/>
          <w:numId w:val="5"/>
        </w:numPr>
        <w:jc w:val="both"/>
      </w:pPr>
      <w:r w:rsidRPr="00C91E05">
        <w:t>Targeted Support Funding (£0.36 in 2017/18)</w:t>
      </w:r>
    </w:p>
    <w:p w:rsidR="00616E08" w:rsidRPr="00C91E05" w:rsidRDefault="0076494B" w:rsidP="00616E08">
      <w:pPr>
        <w:pStyle w:val="Default"/>
        <w:jc w:val="both"/>
      </w:pPr>
      <w:r w:rsidRPr="00C91E05">
        <w:t>This split of funding is no longer necessary</w:t>
      </w:r>
      <w:r>
        <w:t xml:space="preserve"> and it is p</w:t>
      </w:r>
      <w:r w:rsidRPr="00C91E05">
        <w:t>roposed to remove the separate identification giving a revised base rate of £5.00</w:t>
      </w:r>
      <w:r>
        <w:t>,</w:t>
      </w:r>
      <w:r w:rsidRPr="00C91E05">
        <w:t xml:space="preserve"> at 2017/18 levels</w:t>
      </w:r>
    </w:p>
    <w:p w:rsidR="00616E08" w:rsidRDefault="0076494B" w:rsidP="00616E08">
      <w:pPr>
        <w:pStyle w:val="Default"/>
        <w:jc w:val="both"/>
        <w:rPr>
          <w:b/>
        </w:rPr>
      </w:pPr>
    </w:p>
    <w:p w:rsidR="00616E08" w:rsidRDefault="0076494B" w:rsidP="00616E08">
      <w:pPr>
        <w:pStyle w:val="Default"/>
        <w:jc w:val="both"/>
        <w:rPr>
          <w:b/>
          <w:i/>
          <w:iCs/>
        </w:rPr>
      </w:pPr>
      <w:r w:rsidRPr="00952BF6">
        <w:rPr>
          <w:b/>
          <w:i/>
          <w:iCs/>
        </w:rPr>
        <w:t xml:space="preserve">Q6. Do you agree with the proposal to combine both elements of two year old funding into a single rate?   </w:t>
      </w:r>
    </w:p>
    <w:p w:rsidR="00616E08" w:rsidRDefault="0076494B" w:rsidP="00616E08">
      <w:pPr>
        <w:pStyle w:val="Default"/>
        <w:jc w:val="both"/>
        <w:rPr>
          <w:b/>
          <w:i/>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4"/>
        <w:gridCol w:w="2311"/>
        <w:gridCol w:w="2282"/>
        <w:gridCol w:w="2179"/>
      </w:tblGrid>
      <w:tr w:rsidR="00FF1399" w:rsidTr="00A92922">
        <w:trPr>
          <w:trHeight w:val="340"/>
          <w:jc w:val="center"/>
        </w:trPr>
        <w:tc>
          <w:tcPr>
            <w:tcW w:w="1522" w:type="pct"/>
            <w:shd w:val="clear" w:color="auto" w:fill="auto"/>
            <w:tcMar>
              <w:top w:w="15" w:type="dxa"/>
              <w:left w:w="108" w:type="dxa"/>
              <w:bottom w:w="0" w:type="dxa"/>
              <w:right w:w="108" w:type="dxa"/>
            </w:tcMar>
            <w:vAlign w:val="center"/>
            <w:hideMark/>
          </w:tcPr>
          <w:p w:rsidR="00616E08" w:rsidRPr="00952BF6" w:rsidRDefault="0076494B" w:rsidP="00A92922">
            <w:pPr>
              <w:pStyle w:val="Default"/>
              <w:jc w:val="center"/>
              <w:rPr>
                <w:b/>
              </w:rPr>
            </w:pPr>
            <w:r w:rsidRPr="00952BF6">
              <w:rPr>
                <w:b/>
              </w:rPr>
              <w:t>Responses</w:t>
            </w:r>
          </w:p>
        </w:tc>
        <w:tc>
          <w:tcPr>
            <w:tcW w:w="1187" w:type="pct"/>
            <w:shd w:val="clear" w:color="auto" w:fill="auto"/>
            <w:tcMar>
              <w:top w:w="15" w:type="dxa"/>
              <w:left w:w="108" w:type="dxa"/>
              <w:bottom w:w="0" w:type="dxa"/>
              <w:right w:w="108" w:type="dxa"/>
            </w:tcMar>
            <w:vAlign w:val="center"/>
            <w:hideMark/>
          </w:tcPr>
          <w:p w:rsidR="00616E08" w:rsidRPr="00952BF6" w:rsidRDefault="0076494B" w:rsidP="00A92922">
            <w:pPr>
              <w:pStyle w:val="Default"/>
              <w:jc w:val="center"/>
              <w:rPr>
                <w:b/>
              </w:rPr>
            </w:pPr>
            <w:r w:rsidRPr="00952BF6">
              <w:rPr>
                <w:b/>
              </w:rPr>
              <w:t>Yes</w:t>
            </w:r>
          </w:p>
        </w:tc>
        <w:tc>
          <w:tcPr>
            <w:tcW w:w="1172" w:type="pct"/>
            <w:shd w:val="clear" w:color="auto" w:fill="auto"/>
            <w:tcMar>
              <w:top w:w="15" w:type="dxa"/>
              <w:left w:w="108" w:type="dxa"/>
              <w:bottom w:w="0" w:type="dxa"/>
              <w:right w:w="108" w:type="dxa"/>
            </w:tcMar>
            <w:vAlign w:val="center"/>
            <w:hideMark/>
          </w:tcPr>
          <w:p w:rsidR="00616E08" w:rsidRPr="00952BF6" w:rsidRDefault="0076494B" w:rsidP="00A92922">
            <w:pPr>
              <w:pStyle w:val="Default"/>
              <w:jc w:val="center"/>
              <w:rPr>
                <w:b/>
              </w:rPr>
            </w:pPr>
            <w:r w:rsidRPr="00952BF6">
              <w:rPr>
                <w:b/>
              </w:rPr>
              <w:t>No</w:t>
            </w:r>
          </w:p>
        </w:tc>
        <w:tc>
          <w:tcPr>
            <w:tcW w:w="1119" w:type="pct"/>
            <w:shd w:val="clear" w:color="auto" w:fill="auto"/>
            <w:tcMar>
              <w:top w:w="15" w:type="dxa"/>
              <w:left w:w="108" w:type="dxa"/>
              <w:bottom w:w="0" w:type="dxa"/>
              <w:right w:w="108" w:type="dxa"/>
            </w:tcMar>
            <w:vAlign w:val="center"/>
            <w:hideMark/>
          </w:tcPr>
          <w:p w:rsidR="00616E08" w:rsidRPr="00952BF6" w:rsidRDefault="0076494B" w:rsidP="00A92922">
            <w:pPr>
              <w:pStyle w:val="Default"/>
              <w:jc w:val="center"/>
              <w:rPr>
                <w:b/>
              </w:rPr>
            </w:pPr>
            <w:r w:rsidRPr="00952BF6">
              <w:rPr>
                <w:b/>
              </w:rPr>
              <w:t>Not sure</w:t>
            </w:r>
          </w:p>
        </w:tc>
      </w:tr>
      <w:tr w:rsidR="00FF1399" w:rsidTr="00A92922">
        <w:trPr>
          <w:trHeight w:val="340"/>
          <w:jc w:val="center"/>
        </w:trPr>
        <w:tc>
          <w:tcPr>
            <w:tcW w:w="1522" w:type="pct"/>
            <w:shd w:val="clear" w:color="auto" w:fill="auto"/>
            <w:tcMar>
              <w:top w:w="15" w:type="dxa"/>
              <w:left w:w="15" w:type="dxa"/>
              <w:bottom w:w="0" w:type="dxa"/>
              <w:right w:w="15" w:type="dxa"/>
            </w:tcMar>
            <w:vAlign w:val="center"/>
            <w:hideMark/>
          </w:tcPr>
          <w:p w:rsidR="00616E08" w:rsidRPr="004F30E6" w:rsidRDefault="0076494B" w:rsidP="00A92922">
            <w:pPr>
              <w:pStyle w:val="Default"/>
              <w:jc w:val="center"/>
              <w:rPr>
                <w:b/>
              </w:rPr>
            </w:pPr>
            <w:r w:rsidRPr="004F30E6">
              <w:rPr>
                <w:b/>
                <w:bCs/>
              </w:rPr>
              <w:t>89</w:t>
            </w:r>
          </w:p>
        </w:tc>
        <w:tc>
          <w:tcPr>
            <w:tcW w:w="1187" w:type="pct"/>
            <w:shd w:val="clear" w:color="auto" w:fill="auto"/>
            <w:tcMar>
              <w:top w:w="15" w:type="dxa"/>
              <w:left w:w="15" w:type="dxa"/>
              <w:bottom w:w="0" w:type="dxa"/>
              <w:right w:w="15" w:type="dxa"/>
            </w:tcMar>
            <w:vAlign w:val="center"/>
            <w:hideMark/>
          </w:tcPr>
          <w:p w:rsidR="00616E08" w:rsidRPr="004F30E6" w:rsidRDefault="0076494B" w:rsidP="00A92922">
            <w:pPr>
              <w:pStyle w:val="Default"/>
              <w:jc w:val="center"/>
              <w:rPr>
                <w:b/>
              </w:rPr>
            </w:pPr>
            <w:r w:rsidRPr="004F30E6">
              <w:rPr>
                <w:b/>
              </w:rPr>
              <w:t>76.4%</w:t>
            </w:r>
          </w:p>
        </w:tc>
        <w:tc>
          <w:tcPr>
            <w:tcW w:w="1172" w:type="pct"/>
            <w:shd w:val="clear" w:color="auto" w:fill="auto"/>
            <w:tcMar>
              <w:top w:w="15" w:type="dxa"/>
              <w:left w:w="15" w:type="dxa"/>
              <w:bottom w:w="0" w:type="dxa"/>
              <w:right w:w="15" w:type="dxa"/>
            </w:tcMar>
            <w:vAlign w:val="center"/>
            <w:hideMark/>
          </w:tcPr>
          <w:p w:rsidR="00616E08" w:rsidRPr="004F30E6" w:rsidRDefault="0076494B" w:rsidP="00A92922">
            <w:pPr>
              <w:pStyle w:val="Default"/>
              <w:jc w:val="center"/>
              <w:rPr>
                <w:b/>
              </w:rPr>
            </w:pPr>
            <w:r w:rsidRPr="004F30E6">
              <w:rPr>
                <w:b/>
              </w:rPr>
              <w:t>6.7%</w:t>
            </w:r>
          </w:p>
        </w:tc>
        <w:tc>
          <w:tcPr>
            <w:tcW w:w="1119" w:type="pct"/>
            <w:shd w:val="clear" w:color="auto" w:fill="auto"/>
            <w:tcMar>
              <w:top w:w="15" w:type="dxa"/>
              <w:left w:w="15" w:type="dxa"/>
              <w:bottom w:w="0" w:type="dxa"/>
              <w:right w:w="15" w:type="dxa"/>
            </w:tcMar>
            <w:vAlign w:val="center"/>
            <w:hideMark/>
          </w:tcPr>
          <w:p w:rsidR="00616E08" w:rsidRPr="004F30E6" w:rsidRDefault="0076494B" w:rsidP="00A92922">
            <w:pPr>
              <w:pStyle w:val="Default"/>
              <w:jc w:val="center"/>
              <w:rPr>
                <w:b/>
              </w:rPr>
            </w:pPr>
            <w:r w:rsidRPr="004F30E6">
              <w:rPr>
                <w:b/>
              </w:rPr>
              <w:t>16.9%</w:t>
            </w:r>
          </w:p>
        </w:tc>
      </w:tr>
    </w:tbl>
    <w:p w:rsidR="00616E08" w:rsidRDefault="0076494B" w:rsidP="00616E08">
      <w:pPr>
        <w:pStyle w:val="Default"/>
        <w:rPr>
          <w:b/>
        </w:rPr>
      </w:pPr>
    </w:p>
    <w:p w:rsidR="00616E08" w:rsidRDefault="0076494B" w:rsidP="00616E08">
      <w:pPr>
        <w:pStyle w:val="Default"/>
        <w:rPr>
          <w:b/>
        </w:rPr>
      </w:pPr>
      <w:r w:rsidRPr="00952BF6">
        <w:rPr>
          <w:b/>
        </w:rPr>
        <w:t>Q6 Comments</w:t>
      </w:r>
    </w:p>
    <w:p w:rsidR="00616E08" w:rsidRDefault="0076494B" w:rsidP="00616E08">
      <w:pPr>
        <w:pStyle w:val="Default"/>
        <w:rPr>
          <w:b/>
        </w:rPr>
      </w:pPr>
    </w:p>
    <w:tbl>
      <w:tblPr>
        <w:tblW w:w="5000" w:type="pct"/>
        <w:tblCellMar>
          <w:left w:w="0" w:type="dxa"/>
          <w:right w:w="0" w:type="dxa"/>
        </w:tblCellMar>
        <w:tblLook w:val="04A0" w:firstRow="1" w:lastRow="0" w:firstColumn="1" w:lastColumn="0" w:noHBand="0" w:noVBand="1"/>
      </w:tblPr>
      <w:tblGrid>
        <w:gridCol w:w="9736"/>
      </w:tblGrid>
      <w:tr w:rsidR="00FF1399" w:rsidTr="00A92922">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16E08" w:rsidRPr="00952BF6" w:rsidRDefault="0076494B" w:rsidP="00A92922">
            <w:pPr>
              <w:pStyle w:val="Default"/>
              <w:jc w:val="both"/>
            </w:pPr>
            <w:r w:rsidRPr="00952BF6">
              <w:rPr>
                <w:lang w:val="en-US"/>
              </w:rPr>
              <w:t>Don't take 2 year old funded children</w:t>
            </w:r>
          </w:p>
        </w:tc>
      </w:tr>
      <w:tr w:rsidR="00FF1399" w:rsidTr="00A92922">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16E08" w:rsidRPr="00952BF6" w:rsidRDefault="0076494B" w:rsidP="00A92922">
            <w:pPr>
              <w:pStyle w:val="Default"/>
              <w:jc w:val="both"/>
            </w:pPr>
            <w:r w:rsidRPr="00952BF6">
              <w:rPr>
                <w:lang w:val="en-US"/>
              </w:rPr>
              <w:t xml:space="preserve">As long as this does not reduce the actual </w:t>
            </w:r>
            <w:r w:rsidRPr="00952BF6">
              <w:rPr>
                <w:lang w:val="en-US"/>
              </w:rPr>
              <w:t>amount being paid</w:t>
            </w:r>
          </w:p>
        </w:tc>
      </w:tr>
      <w:tr w:rsidR="00FF1399" w:rsidTr="00A92922">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16E08" w:rsidRPr="00952BF6" w:rsidRDefault="0076494B" w:rsidP="00A92922">
            <w:pPr>
              <w:pStyle w:val="Default"/>
              <w:jc w:val="both"/>
            </w:pPr>
            <w:r w:rsidRPr="00952BF6">
              <w:t>Would make it easier</w:t>
            </w:r>
          </w:p>
        </w:tc>
      </w:tr>
      <w:tr w:rsidR="00FF1399" w:rsidTr="00A92922">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16E08" w:rsidRPr="00952BF6" w:rsidRDefault="0076494B" w:rsidP="00A92922">
            <w:pPr>
              <w:pStyle w:val="Default"/>
              <w:jc w:val="both"/>
            </w:pPr>
            <w:r w:rsidRPr="00952BF6">
              <w:rPr>
                <w:lang w:val="en-US"/>
              </w:rPr>
              <w:t xml:space="preserve">Again 2year funded children should be able to access Quality funding as an additional supplement where an Early Years QTS is employed in Nursery School  / Class  provision  </w:t>
            </w:r>
          </w:p>
        </w:tc>
      </w:tr>
      <w:tr w:rsidR="00FF1399" w:rsidTr="00A92922">
        <w:trPr>
          <w:trHeight w:val="369"/>
        </w:trPr>
        <w:tc>
          <w:tcPr>
            <w:tcW w:w="5000" w:type="pct"/>
            <w:tcBorders>
              <w:top w:val="single" w:sz="4" w:space="0" w:color="auto"/>
              <w:left w:val="nil"/>
              <w:bottom w:val="nil"/>
              <w:right w:val="nil"/>
            </w:tcBorders>
            <w:shd w:val="clear" w:color="auto" w:fill="auto"/>
            <w:tcMar>
              <w:top w:w="15" w:type="dxa"/>
              <w:left w:w="15" w:type="dxa"/>
              <w:bottom w:w="0" w:type="dxa"/>
              <w:right w:w="15" w:type="dxa"/>
            </w:tcMar>
            <w:vAlign w:val="bottom"/>
            <w:hideMark/>
          </w:tcPr>
          <w:p w:rsidR="00616E08" w:rsidRPr="00952BF6" w:rsidRDefault="0076494B" w:rsidP="00A92922">
            <w:pPr>
              <w:pStyle w:val="Default"/>
              <w:rPr>
                <w:b/>
              </w:rPr>
            </w:pPr>
          </w:p>
        </w:tc>
      </w:tr>
    </w:tbl>
    <w:p w:rsidR="00721B01" w:rsidRDefault="0076494B"/>
    <w:sectPr w:rsidR="00721B01" w:rsidSect="00534F0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86F76"/>
    <w:multiLevelType w:val="hybridMultilevel"/>
    <w:tmpl w:val="BCCA2616"/>
    <w:lvl w:ilvl="0" w:tplc="994205DC">
      <w:start w:val="1"/>
      <w:numFmt w:val="bullet"/>
      <w:lvlText w:val=""/>
      <w:lvlJc w:val="left"/>
      <w:pPr>
        <w:ind w:left="720" w:hanging="360"/>
      </w:pPr>
      <w:rPr>
        <w:rFonts w:ascii="Symbol" w:hAnsi="Symbol" w:hint="default"/>
      </w:rPr>
    </w:lvl>
    <w:lvl w:ilvl="1" w:tplc="3F504AC2" w:tentative="1">
      <w:start w:val="1"/>
      <w:numFmt w:val="bullet"/>
      <w:lvlText w:val="o"/>
      <w:lvlJc w:val="left"/>
      <w:pPr>
        <w:ind w:left="1440" w:hanging="360"/>
      </w:pPr>
      <w:rPr>
        <w:rFonts w:ascii="Courier New" w:hAnsi="Courier New" w:cs="Courier New" w:hint="default"/>
      </w:rPr>
    </w:lvl>
    <w:lvl w:ilvl="2" w:tplc="87BA607C" w:tentative="1">
      <w:start w:val="1"/>
      <w:numFmt w:val="bullet"/>
      <w:lvlText w:val=""/>
      <w:lvlJc w:val="left"/>
      <w:pPr>
        <w:ind w:left="2160" w:hanging="360"/>
      </w:pPr>
      <w:rPr>
        <w:rFonts w:ascii="Wingdings" w:hAnsi="Wingdings" w:hint="default"/>
      </w:rPr>
    </w:lvl>
    <w:lvl w:ilvl="3" w:tplc="D248AE32" w:tentative="1">
      <w:start w:val="1"/>
      <w:numFmt w:val="bullet"/>
      <w:lvlText w:val=""/>
      <w:lvlJc w:val="left"/>
      <w:pPr>
        <w:ind w:left="2880" w:hanging="360"/>
      </w:pPr>
      <w:rPr>
        <w:rFonts w:ascii="Symbol" w:hAnsi="Symbol" w:hint="default"/>
      </w:rPr>
    </w:lvl>
    <w:lvl w:ilvl="4" w:tplc="35623930" w:tentative="1">
      <w:start w:val="1"/>
      <w:numFmt w:val="bullet"/>
      <w:lvlText w:val="o"/>
      <w:lvlJc w:val="left"/>
      <w:pPr>
        <w:ind w:left="3600" w:hanging="360"/>
      </w:pPr>
      <w:rPr>
        <w:rFonts w:ascii="Courier New" w:hAnsi="Courier New" w:cs="Courier New" w:hint="default"/>
      </w:rPr>
    </w:lvl>
    <w:lvl w:ilvl="5" w:tplc="4CA4A508" w:tentative="1">
      <w:start w:val="1"/>
      <w:numFmt w:val="bullet"/>
      <w:lvlText w:val=""/>
      <w:lvlJc w:val="left"/>
      <w:pPr>
        <w:ind w:left="4320" w:hanging="360"/>
      </w:pPr>
      <w:rPr>
        <w:rFonts w:ascii="Wingdings" w:hAnsi="Wingdings" w:hint="default"/>
      </w:rPr>
    </w:lvl>
    <w:lvl w:ilvl="6" w:tplc="9BF20520" w:tentative="1">
      <w:start w:val="1"/>
      <w:numFmt w:val="bullet"/>
      <w:lvlText w:val=""/>
      <w:lvlJc w:val="left"/>
      <w:pPr>
        <w:ind w:left="5040" w:hanging="360"/>
      </w:pPr>
      <w:rPr>
        <w:rFonts w:ascii="Symbol" w:hAnsi="Symbol" w:hint="default"/>
      </w:rPr>
    </w:lvl>
    <w:lvl w:ilvl="7" w:tplc="E4C4AE46" w:tentative="1">
      <w:start w:val="1"/>
      <w:numFmt w:val="bullet"/>
      <w:lvlText w:val="o"/>
      <w:lvlJc w:val="left"/>
      <w:pPr>
        <w:ind w:left="5760" w:hanging="360"/>
      </w:pPr>
      <w:rPr>
        <w:rFonts w:ascii="Courier New" w:hAnsi="Courier New" w:cs="Courier New" w:hint="default"/>
      </w:rPr>
    </w:lvl>
    <w:lvl w:ilvl="8" w:tplc="2BC0B7BA" w:tentative="1">
      <w:start w:val="1"/>
      <w:numFmt w:val="bullet"/>
      <w:lvlText w:val=""/>
      <w:lvlJc w:val="left"/>
      <w:pPr>
        <w:ind w:left="6480" w:hanging="360"/>
      </w:pPr>
      <w:rPr>
        <w:rFonts w:ascii="Wingdings" w:hAnsi="Wingdings" w:hint="default"/>
      </w:rPr>
    </w:lvl>
  </w:abstractNum>
  <w:abstractNum w:abstractNumId="1" w15:restartNumberingAfterBreak="0">
    <w:nsid w:val="1FBB0ABE"/>
    <w:multiLevelType w:val="hybridMultilevel"/>
    <w:tmpl w:val="8C2AAF38"/>
    <w:lvl w:ilvl="0" w:tplc="7E2869C4">
      <w:start w:val="1"/>
      <w:numFmt w:val="bullet"/>
      <w:lvlText w:val=""/>
      <w:lvlJc w:val="left"/>
      <w:pPr>
        <w:ind w:left="1440" w:hanging="360"/>
      </w:pPr>
      <w:rPr>
        <w:rFonts w:ascii="Symbol" w:hAnsi="Symbol" w:hint="default"/>
      </w:rPr>
    </w:lvl>
    <w:lvl w:ilvl="1" w:tplc="FB300938" w:tentative="1">
      <w:start w:val="1"/>
      <w:numFmt w:val="bullet"/>
      <w:lvlText w:val="o"/>
      <w:lvlJc w:val="left"/>
      <w:pPr>
        <w:ind w:left="2160" w:hanging="360"/>
      </w:pPr>
      <w:rPr>
        <w:rFonts w:ascii="Courier New" w:hAnsi="Courier New" w:cs="Courier New" w:hint="default"/>
      </w:rPr>
    </w:lvl>
    <w:lvl w:ilvl="2" w:tplc="FD8207BE" w:tentative="1">
      <w:start w:val="1"/>
      <w:numFmt w:val="bullet"/>
      <w:lvlText w:val=""/>
      <w:lvlJc w:val="left"/>
      <w:pPr>
        <w:ind w:left="2880" w:hanging="360"/>
      </w:pPr>
      <w:rPr>
        <w:rFonts w:ascii="Wingdings" w:hAnsi="Wingdings" w:hint="default"/>
      </w:rPr>
    </w:lvl>
    <w:lvl w:ilvl="3" w:tplc="887C9F68" w:tentative="1">
      <w:start w:val="1"/>
      <w:numFmt w:val="bullet"/>
      <w:lvlText w:val=""/>
      <w:lvlJc w:val="left"/>
      <w:pPr>
        <w:ind w:left="3600" w:hanging="360"/>
      </w:pPr>
      <w:rPr>
        <w:rFonts w:ascii="Symbol" w:hAnsi="Symbol" w:hint="default"/>
      </w:rPr>
    </w:lvl>
    <w:lvl w:ilvl="4" w:tplc="FDB0FBEE" w:tentative="1">
      <w:start w:val="1"/>
      <w:numFmt w:val="bullet"/>
      <w:lvlText w:val="o"/>
      <w:lvlJc w:val="left"/>
      <w:pPr>
        <w:ind w:left="4320" w:hanging="360"/>
      </w:pPr>
      <w:rPr>
        <w:rFonts w:ascii="Courier New" w:hAnsi="Courier New" w:cs="Courier New" w:hint="default"/>
      </w:rPr>
    </w:lvl>
    <w:lvl w:ilvl="5" w:tplc="96B6553C" w:tentative="1">
      <w:start w:val="1"/>
      <w:numFmt w:val="bullet"/>
      <w:lvlText w:val=""/>
      <w:lvlJc w:val="left"/>
      <w:pPr>
        <w:ind w:left="5040" w:hanging="360"/>
      </w:pPr>
      <w:rPr>
        <w:rFonts w:ascii="Wingdings" w:hAnsi="Wingdings" w:hint="default"/>
      </w:rPr>
    </w:lvl>
    <w:lvl w:ilvl="6" w:tplc="673018D4" w:tentative="1">
      <w:start w:val="1"/>
      <w:numFmt w:val="bullet"/>
      <w:lvlText w:val=""/>
      <w:lvlJc w:val="left"/>
      <w:pPr>
        <w:ind w:left="5760" w:hanging="360"/>
      </w:pPr>
      <w:rPr>
        <w:rFonts w:ascii="Symbol" w:hAnsi="Symbol" w:hint="default"/>
      </w:rPr>
    </w:lvl>
    <w:lvl w:ilvl="7" w:tplc="EC7E3702" w:tentative="1">
      <w:start w:val="1"/>
      <w:numFmt w:val="bullet"/>
      <w:lvlText w:val="o"/>
      <w:lvlJc w:val="left"/>
      <w:pPr>
        <w:ind w:left="6480" w:hanging="360"/>
      </w:pPr>
      <w:rPr>
        <w:rFonts w:ascii="Courier New" w:hAnsi="Courier New" w:cs="Courier New" w:hint="default"/>
      </w:rPr>
    </w:lvl>
    <w:lvl w:ilvl="8" w:tplc="CE3C621A" w:tentative="1">
      <w:start w:val="1"/>
      <w:numFmt w:val="bullet"/>
      <w:lvlText w:val=""/>
      <w:lvlJc w:val="left"/>
      <w:pPr>
        <w:ind w:left="7200" w:hanging="360"/>
      </w:pPr>
      <w:rPr>
        <w:rFonts w:ascii="Wingdings" w:hAnsi="Wingdings" w:hint="default"/>
      </w:rPr>
    </w:lvl>
  </w:abstractNum>
  <w:abstractNum w:abstractNumId="2" w15:restartNumberingAfterBreak="0">
    <w:nsid w:val="38F663E2"/>
    <w:multiLevelType w:val="hybridMultilevel"/>
    <w:tmpl w:val="39362766"/>
    <w:lvl w:ilvl="0" w:tplc="FA32F708">
      <w:start w:val="1"/>
      <w:numFmt w:val="lowerRoman"/>
      <w:lvlText w:val="%1."/>
      <w:lvlJc w:val="right"/>
      <w:pPr>
        <w:ind w:left="360" w:hanging="360"/>
      </w:pPr>
    </w:lvl>
    <w:lvl w:ilvl="1" w:tplc="AF3C40E0" w:tentative="1">
      <w:start w:val="1"/>
      <w:numFmt w:val="lowerLetter"/>
      <w:lvlText w:val="%2."/>
      <w:lvlJc w:val="left"/>
      <w:pPr>
        <w:ind w:left="1080" w:hanging="360"/>
      </w:pPr>
    </w:lvl>
    <w:lvl w:ilvl="2" w:tplc="4D088EC0" w:tentative="1">
      <w:start w:val="1"/>
      <w:numFmt w:val="lowerRoman"/>
      <w:lvlText w:val="%3."/>
      <w:lvlJc w:val="right"/>
      <w:pPr>
        <w:ind w:left="1800" w:hanging="180"/>
      </w:pPr>
    </w:lvl>
    <w:lvl w:ilvl="3" w:tplc="ED86B272" w:tentative="1">
      <w:start w:val="1"/>
      <w:numFmt w:val="decimal"/>
      <w:lvlText w:val="%4."/>
      <w:lvlJc w:val="left"/>
      <w:pPr>
        <w:ind w:left="2520" w:hanging="360"/>
      </w:pPr>
    </w:lvl>
    <w:lvl w:ilvl="4" w:tplc="39BA19D4" w:tentative="1">
      <w:start w:val="1"/>
      <w:numFmt w:val="lowerLetter"/>
      <w:lvlText w:val="%5."/>
      <w:lvlJc w:val="left"/>
      <w:pPr>
        <w:ind w:left="3240" w:hanging="360"/>
      </w:pPr>
    </w:lvl>
    <w:lvl w:ilvl="5" w:tplc="434AE184" w:tentative="1">
      <w:start w:val="1"/>
      <w:numFmt w:val="lowerRoman"/>
      <w:lvlText w:val="%6."/>
      <w:lvlJc w:val="right"/>
      <w:pPr>
        <w:ind w:left="3960" w:hanging="180"/>
      </w:pPr>
    </w:lvl>
    <w:lvl w:ilvl="6" w:tplc="17D4798A" w:tentative="1">
      <w:start w:val="1"/>
      <w:numFmt w:val="decimal"/>
      <w:lvlText w:val="%7."/>
      <w:lvlJc w:val="left"/>
      <w:pPr>
        <w:ind w:left="4680" w:hanging="360"/>
      </w:pPr>
    </w:lvl>
    <w:lvl w:ilvl="7" w:tplc="08F27EEA" w:tentative="1">
      <w:start w:val="1"/>
      <w:numFmt w:val="lowerLetter"/>
      <w:lvlText w:val="%8."/>
      <w:lvlJc w:val="left"/>
      <w:pPr>
        <w:ind w:left="5400" w:hanging="360"/>
      </w:pPr>
    </w:lvl>
    <w:lvl w:ilvl="8" w:tplc="7B249198" w:tentative="1">
      <w:start w:val="1"/>
      <w:numFmt w:val="lowerRoman"/>
      <w:lvlText w:val="%9."/>
      <w:lvlJc w:val="right"/>
      <w:pPr>
        <w:ind w:left="6120" w:hanging="180"/>
      </w:pPr>
    </w:lvl>
  </w:abstractNum>
  <w:abstractNum w:abstractNumId="3" w15:restartNumberingAfterBreak="0">
    <w:nsid w:val="484D6AF5"/>
    <w:multiLevelType w:val="hybridMultilevel"/>
    <w:tmpl w:val="0DCC962A"/>
    <w:lvl w:ilvl="0" w:tplc="0A801CF4">
      <w:start w:val="1"/>
      <w:numFmt w:val="bullet"/>
      <w:lvlText w:val=""/>
      <w:lvlJc w:val="left"/>
      <w:pPr>
        <w:ind w:left="720" w:hanging="360"/>
      </w:pPr>
      <w:rPr>
        <w:rFonts w:ascii="Symbol" w:hAnsi="Symbol" w:hint="default"/>
      </w:rPr>
    </w:lvl>
    <w:lvl w:ilvl="1" w:tplc="2C008892" w:tentative="1">
      <w:start w:val="1"/>
      <w:numFmt w:val="bullet"/>
      <w:lvlText w:val="o"/>
      <w:lvlJc w:val="left"/>
      <w:pPr>
        <w:ind w:left="1440" w:hanging="360"/>
      </w:pPr>
      <w:rPr>
        <w:rFonts w:ascii="Courier New" w:hAnsi="Courier New" w:cs="Courier New" w:hint="default"/>
      </w:rPr>
    </w:lvl>
    <w:lvl w:ilvl="2" w:tplc="C030976A" w:tentative="1">
      <w:start w:val="1"/>
      <w:numFmt w:val="bullet"/>
      <w:lvlText w:val=""/>
      <w:lvlJc w:val="left"/>
      <w:pPr>
        <w:ind w:left="2160" w:hanging="360"/>
      </w:pPr>
      <w:rPr>
        <w:rFonts w:ascii="Wingdings" w:hAnsi="Wingdings" w:hint="default"/>
      </w:rPr>
    </w:lvl>
    <w:lvl w:ilvl="3" w:tplc="505E8DFA" w:tentative="1">
      <w:start w:val="1"/>
      <w:numFmt w:val="bullet"/>
      <w:lvlText w:val=""/>
      <w:lvlJc w:val="left"/>
      <w:pPr>
        <w:ind w:left="2880" w:hanging="360"/>
      </w:pPr>
      <w:rPr>
        <w:rFonts w:ascii="Symbol" w:hAnsi="Symbol" w:hint="default"/>
      </w:rPr>
    </w:lvl>
    <w:lvl w:ilvl="4" w:tplc="45F4071A" w:tentative="1">
      <w:start w:val="1"/>
      <w:numFmt w:val="bullet"/>
      <w:lvlText w:val="o"/>
      <w:lvlJc w:val="left"/>
      <w:pPr>
        <w:ind w:left="3600" w:hanging="360"/>
      </w:pPr>
      <w:rPr>
        <w:rFonts w:ascii="Courier New" w:hAnsi="Courier New" w:cs="Courier New" w:hint="default"/>
      </w:rPr>
    </w:lvl>
    <w:lvl w:ilvl="5" w:tplc="E8C091B6" w:tentative="1">
      <w:start w:val="1"/>
      <w:numFmt w:val="bullet"/>
      <w:lvlText w:val=""/>
      <w:lvlJc w:val="left"/>
      <w:pPr>
        <w:ind w:left="4320" w:hanging="360"/>
      </w:pPr>
      <w:rPr>
        <w:rFonts w:ascii="Wingdings" w:hAnsi="Wingdings" w:hint="default"/>
      </w:rPr>
    </w:lvl>
    <w:lvl w:ilvl="6" w:tplc="64D47F4E" w:tentative="1">
      <w:start w:val="1"/>
      <w:numFmt w:val="bullet"/>
      <w:lvlText w:val=""/>
      <w:lvlJc w:val="left"/>
      <w:pPr>
        <w:ind w:left="5040" w:hanging="360"/>
      </w:pPr>
      <w:rPr>
        <w:rFonts w:ascii="Symbol" w:hAnsi="Symbol" w:hint="default"/>
      </w:rPr>
    </w:lvl>
    <w:lvl w:ilvl="7" w:tplc="3DF41F1A" w:tentative="1">
      <w:start w:val="1"/>
      <w:numFmt w:val="bullet"/>
      <w:lvlText w:val="o"/>
      <w:lvlJc w:val="left"/>
      <w:pPr>
        <w:ind w:left="5760" w:hanging="360"/>
      </w:pPr>
      <w:rPr>
        <w:rFonts w:ascii="Courier New" w:hAnsi="Courier New" w:cs="Courier New" w:hint="default"/>
      </w:rPr>
    </w:lvl>
    <w:lvl w:ilvl="8" w:tplc="90F0E66E" w:tentative="1">
      <w:start w:val="1"/>
      <w:numFmt w:val="bullet"/>
      <w:lvlText w:val=""/>
      <w:lvlJc w:val="left"/>
      <w:pPr>
        <w:ind w:left="6480" w:hanging="360"/>
      </w:pPr>
      <w:rPr>
        <w:rFonts w:ascii="Wingdings" w:hAnsi="Wingdings" w:hint="default"/>
      </w:rPr>
    </w:lvl>
  </w:abstractNum>
  <w:abstractNum w:abstractNumId="4" w15:restartNumberingAfterBreak="0">
    <w:nsid w:val="77901E21"/>
    <w:multiLevelType w:val="hybridMultilevel"/>
    <w:tmpl w:val="3078DF0A"/>
    <w:lvl w:ilvl="0" w:tplc="8A705454">
      <w:start w:val="1"/>
      <w:numFmt w:val="decimal"/>
      <w:lvlText w:val="%1."/>
      <w:lvlJc w:val="left"/>
      <w:pPr>
        <w:ind w:left="360" w:hanging="360"/>
      </w:pPr>
    </w:lvl>
    <w:lvl w:ilvl="1" w:tplc="9ECEEB28">
      <w:start w:val="1"/>
      <w:numFmt w:val="lowerLetter"/>
      <w:lvlText w:val="%2."/>
      <w:lvlJc w:val="left"/>
      <w:pPr>
        <w:ind w:left="1080" w:hanging="360"/>
      </w:pPr>
    </w:lvl>
    <w:lvl w:ilvl="2" w:tplc="DCAEAA22" w:tentative="1">
      <w:start w:val="1"/>
      <w:numFmt w:val="lowerRoman"/>
      <w:lvlText w:val="%3."/>
      <w:lvlJc w:val="right"/>
      <w:pPr>
        <w:ind w:left="1800" w:hanging="180"/>
      </w:pPr>
    </w:lvl>
    <w:lvl w:ilvl="3" w:tplc="747659EE" w:tentative="1">
      <w:start w:val="1"/>
      <w:numFmt w:val="decimal"/>
      <w:lvlText w:val="%4."/>
      <w:lvlJc w:val="left"/>
      <w:pPr>
        <w:ind w:left="2520" w:hanging="360"/>
      </w:pPr>
    </w:lvl>
    <w:lvl w:ilvl="4" w:tplc="9B3E3FB4" w:tentative="1">
      <w:start w:val="1"/>
      <w:numFmt w:val="lowerLetter"/>
      <w:lvlText w:val="%5."/>
      <w:lvlJc w:val="left"/>
      <w:pPr>
        <w:ind w:left="3240" w:hanging="360"/>
      </w:pPr>
    </w:lvl>
    <w:lvl w:ilvl="5" w:tplc="602AB6A4" w:tentative="1">
      <w:start w:val="1"/>
      <w:numFmt w:val="lowerRoman"/>
      <w:lvlText w:val="%6."/>
      <w:lvlJc w:val="right"/>
      <w:pPr>
        <w:ind w:left="3960" w:hanging="180"/>
      </w:pPr>
    </w:lvl>
    <w:lvl w:ilvl="6" w:tplc="4F2A5680" w:tentative="1">
      <w:start w:val="1"/>
      <w:numFmt w:val="decimal"/>
      <w:lvlText w:val="%7."/>
      <w:lvlJc w:val="left"/>
      <w:pPr>
        <w:ind w:left="4680" w:hanging="360"/>
      </w:pPr>
    </w:lvl>
    <w:lvl w:ilvl="7" w:tplc="CDA0EFD6" w:tentative="1">
      <w:start w:val="1"/>
      <w:numFmt w:val="lowerLetter"/>
      <w:lvlText w:val="%8."/>
      <w:lvlJc w:val="left"/>
      <w:pPr>
        <w:ind w:left="5400" w:hanging="360"/>
      </w:pPr>
    </w:lvl>
    <w:lvl w:ilvl="8" w:tplc="651EB458"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399"/>
    <w:rsid w:val="0076494B"/>
    <w:rsid w:val="00FF1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521A9-F878-47F7-B367-94E4B655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24E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24E5"/>
    <w:pPr>
      <w:spacing w:after="0" w:line="240" w:lineRule="auto"/>
    </w:pPr>
  </w:style>
  <w:style w:type="character" w:customStyle="1" w:styleId="NoSpacingChar">
    <w:name w:val="No Spacing Char"/>
    <w:link w:val="NoSpacing"/>
    <w:uiPriority w:val="1"/>
    <w:locked/>
    <w:rsid w:val="000024E5"/>
  </w:style>
  <w:style w:type="paragraph" w:styleId="BodyTextIndent2">
    <w:name w:val="Body Text Indent 2"/>
    <w:basedOn w:val="Normal"/>
    <w:link w:val="BodyTextIndent2Char"/>
    <w:rsid w:val="000024E5"/>
    <w:pPr>
      <w:ind w:left="360"/>
    </w:pPr>
    <w:rPr>
      <w:rFonts w:ascii="ArialMT" w:hAnsi="ArialMT"/>
      <w:snapToGrid w:val="0"/>
      <w:szCs w:val="20"/>
      <w:lang w:eastAsia="en-US"/>
    </w:rPr>
  </w:style>
  <w:style w:type="character" w:customStyle="1" w:styleId="BodyTextIndent2Char">
    <w:name w:val="Body Text Indent 2 Char"/>
    <w:basedOn w:val="DefaultParagraphFont"/>
    <w:link w:val="BodyTextIndent2"/>
    <w:rsid w:val="000024E5"/>
    <w:rPr>
      <w:rFonts w:ascii="ArialMT" w:eastAsia="Times New Roman" w:hAnsi="ArialMT" w:cs="Times New Roman"/>
      <w:snapToGrid w:val="0"/>
      <w:sz w:val="24"/>
      <w:szCs w:val="20"/>
    </w:rPr>
  </w:style>
  <w:style w:type="paragraph" w:styleId="ListParagraph">
    <w:name w:val="List Paragraph"/>
    <w:basedOn w:val="Normal"/>
    <w:uiPriority w:val="34"/>
    <w:qFormat/>
    <w:rsid w:val="00E43783"/>
    <w:pPr>
      <w:ind w:left="720"/>
      <w:contextualSpacing/>
    </w:pPr>
  </w:style>
  <w:style w:type="paragraph" w:customStyle="1" w:styleId="Default">
    <w:name w:val="Default"/>
    <w:rsid w:val="00616E0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3475</Words>
  <Characters>19810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Bonser, Paul</dc:creator>
  <cp:lastModifiedBy>Mansfield, Joanne</cp:lastModifiedBy>
  <cp:revision>7</cp:revision>
  <dcterms:created xsi:type="dcterms:W3CDTF">2017-12-18T08:50:00Z</dcterms:created>
  <dcterms:modified xsi:type="dcterms:W3CDTF">2017-12-22T11:19:00Z</dcterms:modified>
</cp:coreProperties>
</file>